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4B5C" w14:textId="77777777" w:rsidR="00866A7E" w:rsidRPr="00C3153B" w:rsidRDefault="00866A7E" w:rsidP="00866A7E">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187FE629" w14:textId="77777777" w:rsidR="00866A7E" w:rsidRDefault="00866A7E" w:rsidP="00866A7E">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 xml:space="preserve">968 | Page One </w:t>
      </w:r>
    </w:p>
    <w:p w14:paraId="7DAD6F49" w14:textId="77777777" w:rsidR="00866A7E" w:rsidRPr="00646CE6" w:rsidRDefault="00866A7E" w:rsidP="00866A7E">
      <w:pPr>
        <w:widowControl w:val="0"/>
        <w:autoSpaceDE w:val="0"/>
        <w:autoSpaceDN w:val="0"/>
        <w:adjustRightInd w:val="0"/>
        <w:jc w:val="center"/>
        <w:rPr>
          <w:rFonts w:ascii="Times New Roman" w:hAnsi="Times New Roman" w:cs="Times New Roman"/>
          <w:color w:val="1A1A1A"/>
          <w:sz w:val="20"/>
          <w:szCs w:val="20"/>
        </w:rPr>
      </w:pPr>
      <w:r w:rsidRPr="00646CE6">
        <w:rPr>
          <w:rFonts w:ascii="Times New Roman" w:hAnsi="Times New Roman" w:cs="Times New Roman"/>
          <w:color w:val="1A1A1A"/>
          <w:sz w:val="20"/>
          <w:szCs w:val="20"/>
        </w:rPr>
        <w:t xml:space="preserve">Adapted from Oyez.org </w:t>
      </w:r>
      <w:hyperlink r:id="rId4" w:history="1">
        <w:r w:rsidRPr="00646CE6">
          <w:rPr>
            <w:rStyle w:val="Hyperlink"/>
            <w:sz w:val="20"/>
            <w:szCs w:val="20"/>
          </w:rPr>
          <w:t>http://www.oyez.org/cases/1960-1969/1968/1968_21</w:t>
        </w:r>
      </w:hyperlink>
      <w:r w:rsidRPr="00646CE6">
        <w:rPr>
          <w:sz w:val="20"/>
          <w:szCs w:val="20"/>
        </w:rPr>
        <w:t xml:space="preserve"> </w:t>
      </w:r>
    </w:p>
    <w:p w14:paraId="01932CCC" w14:textId="77777777" w:rsidR="00866A7E" w:rsidRPr="00646CE6" w:rsidRDefault="00866A7E" w:rsidP="00866A7E">
      <w:pPr>
        <w:widowControl w:val="0"/>
        <w:autoSpaceDE w:val="0"/>
        <w:autoSpaceDN w:val="0"/>
        <w:adjustRightInd w:val="0"/>
        <w:jc w:val="center"/>
        <w:rPr>
          <w:rFonts w:ascii="Times New Roman" w:hAnsi="Times New Roman" w:cs="Times New Roman"/>
          <w:color w:val="1A1A1A"/>
          <w:sz w:val="20"/>
          <w:szCs w:val="20"/>
        </w:rPr>
      </w:pPr>
      <w:r w:rsidRPr="00646CE6">
        <w:rPr>
          <w:rFonts w:ascii="Times New Roman" w:hAnsi="Times New Roman" w:cs="Times New Roman"/>
          <w:color w:val="1A1A1A"/>
          <w:sz w:val="20"/>
          <w:szCs w:val="20"/>
        </w:rPr>
        <w:t xml:space="preserve"> and Landmarkcases.org </w:t>
      </w:r>
      <w:hyperlink r:id="rId5" w:history="1">
        <w:r w:rsidRPr="00646CE6">
          <w:rPr>
            <w:rStyle w:val="Hyperlink"/>
            <w:rFonts w:ascii="Times New Roman" w:hAnsi="Times New Roman" w:cs="Times New Roman"/>
            <w:sz w:val="20"/>
            <w:szCs w:val="20"/>
          </w:rPr>
          <w:t>http://landmarkcases.pbworks.com/w/page/14738317/Tinker%20v%20Des%20Moines</w:t>
        </w:r>
      </w:hyperlink>
      <w:r w:rsidRPr="00646CE6">
        <w:rPr>
          <w:rStyle w:val="Hyperlink"/>
          <w:rFonts w:ascii="Times New Roman" w:hAnsi="Times New Roman" w:cs="Times New Roman"/>
          <w:sz w:val="20"/>
          <w:szCs w:val="20"/>
        </w:rPr>
        <w:t xml:space="preserve"> </w:t>
      </w:r>
    </w:p>
    <w:p w14:paraId="062A4988" w14:textId="77777777" w:rsidR="00866A7E" w:rsidRDefault="00866A7E" w:rsidP="00866A7E">
      <w:pPr>
        <w:rPr>
          <w:rFonts w:ascii="Times New Roman" w:hAnsi="Times New Roman" w:cs="Times New Roman"/>
          <w:b/>
          <w:color w:val="1A1A1A"/>
        </w:rPr>
      </w:pPr>
    </w:p>
    <w:p w14:paraId="1F539B75" w14:textId="77777777" w:rsidR="00866A7E" w:rsidRDefault="00866A7E" w:rsidP="00866A7E">
      <w:pPr>
        <w:rPr>
          <w:rFonts w:ascii="Times New Roman" w:hAnsi="Times New Roman" w:cs="Times New Roman"/>
          <w:b/>
          <w:color w:val="1A1A1A"/>
        </w:rPr>
      </w:pPr>
      <w:r>
        <w:rPr>
          <w:rFonts w:ascii="Times New Roman" w:hAnsi="Times New Roman" w:cs="Times New Roman"/>
          <w:b/>
          <w:color w:val="1A1A1A"/>
        </w:rPr>
        <w:t>Essential Question of the Case:</w:t>
      </w:r>
    </w:p>
    <w:p w14:paraId="657FAD8D" w14:textId="77777777" w:rsidR="00866A7E" w:rsidRDefault="00866A7E" w:rsidP="00866A7E">
      <w:pPr>
        <w:widowControl w:val="0"/>
        <w:autoSpaceDE w:val="0"/>
        <w:autoSpaceDN w:val="0"/>
        <w:adjustRightInd w:val="0"/>
        <w:spacing w:after="120"/>
        <w:rPr>
          <w:rFonts w:ascii="Times New Roman" w:hAnsi="Times New Roman" w:cs="Times New Roman"/>
          <w:color w:val="1D2024"/>
        </w:rPr>
      </w:pPr>
      <w:r w:rsidRPr="000A3FBF">
        <w:rPr>
          <w:rFonts w:ascii="Times New Roman" w:hAnsi="Times New Roman" w:cs="Times New Roman"/>
          <w:color w:val="1D2024"/>
        </w:rPr>
        <w:t xml:space="preserve">Does a </w:t>
      </w:r>
      <w:r>
        <w:rPr>
          <w:rFonts w:ascii="Times New Roman" w:hAnsi="Times New Roman" w:cs="Times New Roman"/>
          <w:color w:val="1D2024"/>
        </w:rPr>
        <w:t>ban</w:t>
      </w:r>
      <w:r w:rsidRPr="000A3FBF">
        <w:rPr>
          <w:rFonts w:ascii="Times New Roman" w:hAnsi="Times New Roman" w:cs="Times New Roman"/>
          <w:color w:val="1D2024"/>
        </w:rPr>
        <w:t xml:space="preserve"> against the wearing of armbands in public school, as a form of symbolic protest, violate the First Amendment's freedom of speech protections?</w:t>
      </w:r>
    </w:p>
    <w:p w14:paraId="6E31F72A" w14:textId="77777777" w:rsidR="00866A7E" w:rsidRPr="00FA69FA" w:rsidRDefault="00866A7E" w:rsidP="00866A7E">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DE3EEDC" w14:textId="77777777" w:rsidR="00866A7E" w:rsidRPr="006C1511" w:rsidRDefault="00866A7E" w:rsidP="00866A7E">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14:paraId="7C4F3746" w14:textId="77777777" w:rsidR="00866A7E" w:rsidRPr="006C1511" w:rsidRDefault="00866A7E" w:rsidP="00866A7E">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Tinkers</w:t>
      </w:r>
      <w:r>
        <w:rPr>
          <w:rFonts w:ascii="Times New Roman" w:hAnsi="Times New Roman" w:cs="Times New Roman"/>
          <w:color w:val="1A1A1A"/>
        </w:rPr>
        <w:t>’</w:t>
      </w:r>
      <w:r w:rsidRPr="006C1511">
        <w:rPr>
          <w:rFonts w:ascii="Times New Roman" w:hAnsi="Times New Roman" w:cs="Times New Roman"/>
          <w:color w:val="1A1A1A"/>
        </w:rPr>
        <w:t xml:space="preserve"> </w:t>
      </w:r>
      <w:r>
        <w:rPr>
          <w:rFonts w:ascii="Times New Roman" w:hAnsi="Times New Roman" w:cs="Times New Roman"/>
          <w:color w:val="1A1A1A"/>
        </w:rPr>
        <w:t xml:space="preserve">parents </w:t>
      </w:r>
      <w:r w:rsidRPr="006C1511">
        <w:rPr>
          <w:rFonts w:ascii="Times New Roman" w:hAnsi="Times New Roman" w:cs="Times New Roman"/>
          <w:color w:val="1A1A1A"/>
        </w:rPr>
        <w:t xml:space="preserve">sued the school district </w:t>
      </w:r>
      <w:r>
        <w:rPr>
          <w:rFonts w:ascii="Times New Roman" w:hAnsi="Times New Roman" w:cs="Times New Roman"/>
          <w:color w:val="1A1A1A"/>
        </w:rPr>
        <w:t xml:space="preserve">in the U.S. District Court. Mr. and Mrs. </w:t>
      </w:r>
      <w:r w:rsidRPr="006C1511">
        <w:rPr>
          <w:rFonts w:ascii="Times New Roman" w:hAnsi="Times New Roman" w:cs="Times New Roman"/>
          <w:color w:val="1A1A1A"/>
        </w:rPr>
        <w:t>Tinker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14:paraId="060871F8" w14:textId="77777777" w:rsidR="00866A7E" w:rsidRPr="006C1511" w:rsidRDefault="00866A7E" w:rsidP="00866A7E">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14:paraId="0D08DC30" w14:textId="77777777" w:rsidR="00866A7E" w:rsidRDefault="00866A7E" w:rsidP="00866A7E">
      <w:pPr>
        <w:rPr>
          <w:rFonts w:ascii="Times New Roman" w:hAnsi="Times New Roman" w:cs="Times New Roman"/>
          <w:color w:val="1A1A1A"/>
        </w:rPr>
      </w:pPr>
      <w:r w:rsidRPr="006C1511">
        <w:rPr>
          <w:rFonts w:ascii="Times New Roman" w:hAnsi="Times New Roman" w:cs="Times New Roman"/>
          <w:color w:val="1A1A1A"/>
        </w:rPr>
        <w:t xml:space="preserve">The Tinkers appealed their case to the next level of courts, </w:t>
      </w:r>
      <w:r>
        <w:rPr>
          <w:rFonts w:ascii="Times New Roman" w:hAnsi="Times New Roman" w:cs="Times New Roman"/>
          <w:color w:val="1A1A1A"/>
        </w:rPr>
        <w:t xml:space="preserve">the </w:t>
      </w:r>
      <w:r w:rsidRPr="006C1511">
        <w:rPr>
          <w:rFonts w:ascii="Times New Roman" w:hAnsi="Times New Roman" w:cs="Times New Roman"/>
          <w:color w:val="1A1A1A"/>
        </w:rPr>
        <w:t>U.S. Court of</w:t>
      </w:r>
      <w:r>
        <w:rPr>
          <w:rFonts w:ascii="Times New Roman" w:hAnsi="Times New Roman" w:cs="Times New Roman"/>
          <w:color w:val="1A1A1A"/>
        </w:rPr>
        <w:t xml:space="preserve"> Appeals for the Eighth Circuit, b</w:t>
      </w:r>
      <w:r w:rsidRPr="006C1511">
        <w:rPr>
          <w:rFonts w:ascii="Times New Roman" w:hAnsi="Times New Roman" w:cs="Times New Roman"/>
          <w:color w:val="1A1A1A"/>
        </w:rPr>
        <w:t>ut the Circuit Court agreed with the District Court. The Tinkers then appealed their case to the</w:t>
      </w:r>
      <w:r>
        <w:rPr>
          <w:rFonts w:ascii="Times New Roman" w:hAnsi="Times New Roman" w:cs="Times New Roman"/>
          <w:color w:val="1A1A1A"/>
        </w:rPr>
        <w:t xml:space="preserve"> U.S.</w:t>
      </w:r>
      <w:r w:rsidRPr="006C1511">
        <w:rPr>
          <w:rFonts w:ascii="Times New Roman" w:hAnsi="Times New Roman" w:cs="Times New Roman"/>
          <w:color w:val="1A1A1A"/>
        </w:rPr>
        <w:t xml:space="preserve"> Su</w:t>
      </w:r>
      <w:r>
        <w:rPr>
          <w:rFonts w:ascii="Times New Roman" w:hAnsi="Times New Roman" w:cs="Times New Roman"/>
          <w:color w:val="1A1A1A"/>
        </w:rPr>
        <w:t>preme Court</w:t>
      </w:r>
      <w:r w:rsidRPr="006C1511">
        <w:rPr>
          <w:rFonts w:ascii="Times New Roman" w:hAnsi="Times New Roman" w:cs="Times New Roman"/>
          <w:color w:val="1A1A1A"/>
        </w:rPr>
        <w:t xml:space="preserve">. </w:t>
      </w:r>
    </w:p>
    <w:p w14:paraId="27F3CD8B" w14:textId="77777777" w:rsidR="00866A7E" w:rsidRDefault="00866A7E" w:rsidP="00866A7E">
      <w:pPr>
        <w:rPr>
          <w:rFonts w:ascii="Times New Roman" w:hAnsi="Times New Roman" w:cs="Times New Roman"/>
          <w:color w:val="1A1A1A"/>
        </w:rPr>
      </w:pPr>
    </w:p>
    <w:p w14:paraId="4F211880" w14:textId="77777777" w:rsidR="00866A7E" w:rsidRDefault="00866A7E" w:rsidP="00866A7E">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43B5B985" w14:textId="78050A4A" w:rsidR="00866A7E" w:rsidRDefault="00866A7E" w:rsidP="00866A7E">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226F4618" wp14:editId="714826CA">
                <wp:simplePos x="0" y="0"/>
                <wp:positionH relativeFrom="column">
                  <wp:posOffset>0</wp:posOffset>
                </wp:positionH>
                <wp:positionV relativeFrom="paragraph">
                  <wp:posOffset>281940</wp:posOffset>
                </wp:positionV>
                <wp:extent cx="6172200" cy="1998980"/>
                <wp:effectExtent l="7620" t="12700"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9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0CBE1" w14:textId="77777777" w:rsidR="00866A7E" w:rsidRPr="001B5B53" w:rsidRDefault="00866A7E" w:rsidP="00866A7E">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47FA4351" w14:textId="77777777" w:rsidR="00866A7E" w:rsidRPr="00A952FD" w:rsidRDefault="00866A7E" w:rsidP="00866A7E">
                            <w:pPr>
                              <w:rPr>
                                <w:rFonts w:ascii="Times" w:eastAsia="MS Mincho" w:hAnsi="Times" w:cs="Times"/>
                                <w:color w:val="1D2024"/>
                              </w:rPr>
                            </w:pPr>
                            <w:r w:rsidRPr="00A952FD">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A952FD">
                              <w:rPr>
                                <w:rFonts w:ascii="Times" w:eastAsia="MS Mincho" w:hAnsi="Times" w:cs="Times"/>
                                <w:color w:val="1D2024"/>
                                <w:sz w:val="40"/>
                                <w:szCs w:val="40"/>
                              </w:rPr>
                              <w:t xml:space="preserve"> </w:t>
                            </w:r>
                            <w:r w:rsidRPr="00A952FD">
                              <w:rPr>
                                <w:rFonts w:ascii="Times" w:eastAsia="MS Mincho" w:hAnsi="Times" w:cs="Times"/>
                                <w:color w:val="1D2024"/>
                              </w:rPr>
                              <w:t>the Government for a redress of grievances.</w:t>
                            </w:r>
                          </w:p>
                          <w:p w14:paraId="66F54653" w14:textId="77777777" w:rsidR="00866A7E" w:rsidRPr="00A952FD" w:rsidRDefault="00866A7E" w:rsidP="00866A7E">
                            <w:pPr>
                              <w:rPr>
                                <w:rFonts w:ascii="Times" w:eastAsia="MS Mincho" w:hAnsi="Times" w:cs="Times"/>
                                <w:color w:val="1D2024"/>
                              </w:rPr>
                            </w:pPr>
                          </w:p>
                          <w:p w14:paraId="6A97DE6D" w14:textId="77777777" w:rsidR="00866A7E" w:rsidRPr="001B5B53" w:rsidRDefault="00866A7E" w:rsidP="00866A7E">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F3CFA99" w14:textId="77777777" w:rsidR="00866A7E" w:rsidRPr="00B01838" w:rsidRDefault="00866A7E" w:rsidP="00866A7E">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166BB37" w14:textId="77777777" w:rsidR="00866A7E" w:rsidRPr="00BA3471" w:rsidRDefault="00866A7E" w:rsidP="00866A7E">
                            <w:pPr>
                              <w:rPr>
                                <w:rFonts w:ascii="Times New Roman" w:hAnsi="Times New Roman" w:cs="Times New Roman"/>
                                <w:color w:val="1D20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26F4618" id="_x0000_t202" coordsize="21600,21600" o:spt="202" path="m,l,21600r21600,l21600,xe">
                <v:stroke joinstyle="miter"/>
                <v:path gradientshapeok="t" o:connecttype="rect"/>
              </v:shapetype>
              <v:shape id="Text Box 1" o:spid="_x0000_s1026" type="#_x0000_t202" style="position:absolute;margin-left:0;margin-top:22.2pt;width:486pt;height:1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" filled="f">
                <v:textbox>
                  <w:txbxContent>
                    <w:p w14:paraId="21E0CBE1" w14:textId="77777777" w:rsidR="00866A7E" w:rsidRPr="001B5B53" w:rsidRDefault="00866A7E" w:rsidP="00866A7E">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47FA4351" w14:textId="77777777" w:rsidR="00866A7E" w:rsidRPr="00A952FD" w:rsidRDefault="00866A7E" w:rsidP="00866A7E">
                      <w:pPr>
                        <w:rPr>
                          <w:rFonts w:ascii="Times" w:eastAsia="MS Mincho" w:hAnsi="Times" w:cs="Times"/>
                          <w:color w:val="1D2024"/>
                        </w:rPr>
                      </w:pPr>
                      <w:r w:rsidRPr="00A952FD">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A952FD">
                        <w:rPr>
                          <w:rFonts w:ascii="Times" w:eastAsia="MS Mincho" w:hAnsi="Times" w:cs="Times"/>
                          <w:color w:val="1D2024"/>
                          <w:sz w:val="40"/>
                          <w:szCs w:val="40"/>
                        </w:rPr>
                        <w:t xml:space="preserve"> </w:t>
                      </w:r>
                      <w:r w:rsidRPr="00A952FD">
                        <w:rPr>
                          <w:rFonts w:ascii="Times" w:eastAsia="MS Mincho" w:hAnsi="Times" w:cs="Times"/>
                          <w:color w:val="1D2024"/>
                        </w:rPr>
                        <w:t>the Government for a redress of grievances.</w:t>
                      </w:r>
                    </w:p>
                    <w:p w14:paraId="66F54653" w14:textId="77777777" w:rsidR="00866A7E" w:rsidRPr="00A952FD" w:rsidRDefault="00866A7E" w:rsidP="00866A7E">
                      <w:pPr>
                        <w:rPr>
                          <w:rFonts w:ascii="Times" w:eastAsia="MS Mincho" w:hAnsi="Times" w:cs="Times"/>
                          <w:color w:val="1D2024"/>
                        </w:rPr>
                      </w:pPr>
                    </w:p>
                    <w:p w14:paraId="6A97DE6D" w14:textId="77777777" w:rsidR="00866A7E" w:rsidRPr="001B5B53" w:rsidRDefault="00866A7E" w:rsidP="00866A7E">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F3CFA99" w14:textId="77777777" w:rsidR="00866A7E" w:rsidRPr="00B01838" w:rsidRDefault="00866A7E" w:rsidP="00866A7E">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166BB37" w14:textId="77777777" w:rsidR="00866A7E" w:rsidRPr="00BA3471" w:rsidRDefault="00866A7E" w:rsidP="00866A7E">
                      <w:pPr>
                        <w:rPr>
                          <w:rFonts w:ascii="Times New Roman" w:hAnsi="Times New Roman" w:cs="Times New Roman"/>
                          <w:color w:val="1D2024"/>
                        </w:rPr>
                      </w:pPr>
                    </w:p>
                  </w:txbxContent>
                </v:textbox>
                <w10:wrap type="square"/>
              </v:shape>
            </w:pict>
          </mc:Fallback>
        </mc:AlternateContent>
      </w:r>
    </w:p>
    <w:p w14:paraId="2D9B070C" w14:textId="77777777" w:rsidR="00866A7E" w:rsidRDefault="00866A7E" w:rsidP="00866A7E">
      <w:pPr>
        <w:widowControl w:val="0"/>
        <w:autoSpaceDE w:val="0"/>
        <w:autoSpaceDN w:val="0"/>
        <w:adjustRightInd w:val="0"/>
        <w:spacing w:after="120"/>
        <w:jc w:val="center"/>
        <w:rPr>
          <w:rFonts w:ascii="Times New Roman" w:hAnsi="Times New Roman" w:cs="Times New Roman"/>
          <w:b/>
          <w:color w:val="1A1A1A"/>
        </w:rPr>
      </w:pPr>
    </w:p>
    <w:p w14:paraId="2F6A2822" w14:textId="77777777" w:rsidR="00866A7E" w:rsidRDefault="00866A7E" w:rsidP="00866A7E">
      <w:pPr>
        <w:widowControl w:val="0"/>
        <w:autoSpaceDE w:val="0"/>
        <w:autoSpaceDN w:val="0"/>
        <w:adjustRightInd w:val="0"/>
        <w:spacing w:after="120"/>
        <w:jc w:val="center"/>
        <w:rPr>
          <w:rFonts w:ascii="Times New Roman" w:hAnsi="Times New Roman" w:cs="Times New Roman"/>
          <w:b/>
          <w:color w:val="1A1A1A"/>
        </w:rPr>
      </w:pPr>
    </w:p>
    <w:p w14:paraId="169272DA" w14:textId="77777777" w:rsidR="00866A7E" w:rsidRDefault="00866A7E" w:rsidP="00866A7E">
      <w:pPr>
        <w:widowControl w:val="0"/>
        <w:autoSpaceDE w:val="0"/>
        <w:autoSpaceDN w:val="0"/>
        <w:adjustRightInd w:val="0"/>
        <w:spacing w:after="120"/>
        <w:jc w:val="center"/>
        <w:rPr>
          <w:rFonts w:ascii="Times New Roman" w:hAnsi="Times New Roman" w:cs="Times New Roman"/>
          <w:b/>
          <w:color w:val="1A1A1A"/>
        </w:rPr>
      </w:pPr>
    </w:p>
    <w:p w14:paraId="0B4CC826" w14:textId="77777777" w:rsidR="00866A7E" w:rsidRDefault="00866A7E" w:rsidP="00866A7E">
      <w:pPr>
        <w:widowControl w:val="0"/>
        <w:autoSpaceDE w:val="0"/>
        <w:autoSpaceDN w:val="0"/>
        <w:adjustRightInd w:val="0"/>
        <w:spacing w:after="120"/>
        <w:jc w:val="center"/>
        <w:rPr>
          <w:rFonts w:ascii="Times New Roman" w:hAnsi="Times New Roman" w:cs="Times New Roman"/>
          <w:b/>
          <w:color w:val="1A1A1A"/>
        </w:rPr>
      </w:pPr>
    </w:p>
    <w:p w14:paraId="1BA72110" w14:textId="77777777" w:rsidR="00866A7E" w:rsidRDefault="00866A7E" w:rsidP="00866A7E">
      <w:pPr>
        <w:widowControl w:val="0"/>
        <w:autoSpaceDE w:val="0"/>
        <w:autoSpaceDN w:val="0"/>
        <w:adjustRightInd w:val="0"/>
        <w:spacing w:after="120"/>
        <w:jc w:val="center"/>
        <w:rPr>
          <w:rFonts w:ascii="Times New Roman" w:hAnsi="Times New Roman" w:cs="Times New Roman"/>
          <w:b/>
          <w:color w:val="1A1A1A"/>
        </w:rPr>
      </w:pPr>
    </w:p>
    <w:p w14:paraId="75AC32AF" w14:textId="77777777" w:rsidR="00866A7E" w:rsidRPr="00C3153B" w:rsidRDefault="00866A7E" w:rsidP="00866A7E">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6A21558A" w14:textId="77777777" w:rsidR="00866A7E" w:rsidRDefault="00866A7E" w:rsidP="00866A7E">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968 | Page Two</w:t>
      </w:r>
    </w:p>
    <w:p w14:paraId="1BDB739D" w14:textId="77777777" w:rsidR="00866A7E" w:rsidRDefault="00866A7E" w:rsidP="00866A7E">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4CEF17C4" w14:textId="77777777" w:rsidR="00866A7E" w:rsidRPr="00BA3471" w:rsidRDefault="00866A7E" w:rsidP="00866A7E">
      <w:pPr>
        <w:rPr>
          <w:rFonts w:ascii="Times New Roman" w:hAnsi="Times New Roman" w:cs="Times New Roman"/>
          <w:color w:val="1A1A1A"/>
        </w:rPr>
      </w:pPr>
      <w:r>
        <w:rPr>
          <w:rFonts w:ascii="Times New Roman" w:hAnsi="Times New Roman" w:cs="Times New Roman"/>
          <w:color w:val="1A1A1A"/>
        </w:rPr>
        <w:t>I</w:t>
      </w:r>
      <w:r w:rsidRPr="00BA3471">
        <w:rPr>
          <w:rFonts w:ascii="Times New Roman" w:hAnsi="Times New Roman" w:cs="Times New Roman"/>
          <w:color w:val="1A1A1A"/>
        </w:rPr>
        <w:t xml:space="preserve">n a 7-2 decision, the Supreme Court ruled in favor of the Tinkers. </w:t>
      </w:r>
      <w:r>
        <w:rPr>
          <w:rFonts w:ascii="Times New Roman" w:hAnsi="Times New Roman" w:cs="Times New Roman"/>
          <w:color w:val="1A1A1A"/>
        </w:rPr>
        <w:t>Associate</w:t>
      </w:r>
      <w:r w:rsidRPr="00BA3471">
        <w:rPr>
          <w:rFonts w:ascii="Times New Roman" w:hAnsi="Times New Roman" w:cs="Times New Roman"/>
          <w:color w:val="1A1A1A"/>
        </w:rPr>
        <w:t xml:space="preserve"> Justice Fortas wrote the majority opinion, ruling that students retain their constitutional right of freedom of speech while in public school. </w:t>
      </w:r>
    </w:p>
    <w:p w14:paraId="0B6F89DB" w14:textId="77777777" w:rsidR="00866A7E" w:rsidRPr="00BA3471" w:rsidRDefault="00866A7E" w:rsidP="00866A7E">
      <w:pPr>
        <w:rPr>
          <w:rFonts w:ascii="Times New Roman" w:hAnsi="Times New Roman" w:cs="Times New Roman"/>
          <w:color w:val="1A1A1A"/>
        </w:rPr>
      </w:pPr>
    </w:p>
    <w:p w14:paraId="51084D41" w14:textId="77777777" w:rsidR="00866A7E" w:rsidRPr="00BA3471" w:rsidRDefault="00866A7E" w:rsidP="00866A7E">
      <w:pPr>
        <w:rPr>
          <w:rFonts w:ascii="Times New Roman" w:hAnsi="Times New Roman" w:cs="Times New Roman"/>
          <w:color w:val="1A1A1A"/>
        </w:rPr>
      </w:pPr>
      <w:r w:rsidRPr="00BA3471">
        <w:rPr>
          <w:rFonts w:ascii="Times New Roman" w:hAnsi="Times New Roman" w:cs="Times New Roman"/>
          <w:color w:val="1A1A1A"/>
        </w:rPr>
        <w:t xml:space="preserve">The Court ruled that students are entitled to exercise their constitutional rights, even while in school.  The justices reasoned that neither “students (n)or teachers shed their constitutional rights to freedom of speech or expression at the schoolhouse gate.”  Because student expression is protected by the First Amendment even while in school, school officials must provide constitutionally valid reasons for </w:t>
      </w:r>
      <w:r>
        <w:rPr>
          <w:rFonts w:ascii="Times New Roman" w:hAnsi="Times New Roman" w:cs="Times New Roman"/>
          <w:color w:val="1A1A1A"/>
        </w:rPr>
        <w:t>limiting</w:t>
      </w:r>
      <w:r w:rsidRPr="00BA3471">
        <w:rPr>
          <w:rFonts w:ascii="Times New Roman" w:hAnsi="Times New Roman" w:cs="Times New Roman"/>
          <w:color w:val="1A1A1A"/>
        </w:rPr>
        <w:t xml:space="preserve"> student expression. </w:t>
      </w:r>
    </w:p>
    <w:p w14:paraId="4688A761" w14:textId="77777777" w:rsidR="00866A7E" w:rsidRPr="00BA3471" w:rsidRDefault="00866A7E" w:rsidP="00866A7E">
      <w:pPr>
        <w:rPr>
          <w:rFonts w:ascii="Times New Roman" w:hAnsi="Times New Roman" w:cs="Times New Roman"/>
          <w:color w:val="1A1A1A"/>
        </w:rPr>
      </w:pPr>
    </w:p>
    <w:p w14:paraId="038A1C3E" w14:textId="77777777" w:rsidR="00866A7E" w:rsidRDefault="00866A7E" w:rsidP="00866A7E">
      <w:pPr>
        <w:rPr>
          <w:rFonts w:ascii="Times New Roman" w:hAnsi="Times New Roman" w:cs="Times New Roman"/>
          <w:color w:val="1A1A1A"/>
        </w:rPr>
      </w:pPr>
      <w:r w:rsidRPr="00BA3471">
        <w:rPr>
          <w:rFonts w:ascii="Times New Roman" w:hAnsi="Times New Roman" w:cs="Times New Roman"/>
          <w:color w:val="1A1A1A"/>
        </w:rPr>
        <w:t xml:space="preserve">The </w:t>
      </w:r>
      <w:r>
        <w:rPr>
          <w:rFonts w:ascii="Times New Roman" w:hAnsi="Times New Roman" w:cs="Times New Roman"/>
          <w:color w:val="1A1A1A"/>
        </w:rPr>
        <w:t>reason for limiting expression</w:t>
      </w:r>
      <w:r w:rsidRPr="00BA3471">
        <w:rPr>
          <w:rFonts w:ascii="Times New Roman" w:hAnsi="Times New Roman" w:cs="Times New Roman"/>
          <w:color w:val="1A1A1A"/>
        </w:rPr>
        <w:t xml:space="preserve"> must be more than</w:t>
      </w:r>
      <w:r>
        <w:rPr>
          <w:rFonts w:ascii="Times New Roman" w:hAnsi="Times New Roman" w:cs="Times New Roman"/>
          <w:color w:val="1A1A1A"/>
        </w:rPr>
        <w:t xml:space="preserve"> a desire to avoid having students express unpopular viewpoints and s</w:t>
      </w:r>
      <w:r w:rsidRPr="00BA3471">
        <w:rPr>
          <w:rFonts w:ascii="Times New Roman" w:hAnsi="Times New Roman" w:cs="Times New Roman"/>
          <w:color w:val="1A1A1A"/>
        </w:rPr>
        <w:t xml:space="preserve">chool officials must show that the expression would cause a </w:t>
      </w:r>
      <w:r>
        <w:rPr>
          <w:rFonts w:ascii="Times New Roman" w:hAnsi="Times New Roman" w:cs="Times New Roman"/>
          <w:color w:val="1A1A1A"/>
        </w:rPr>
        <w:t>substantial disruption to the school environment.</w:t>
      </w:r>
      <w:r w:rsidRPr="00BA3471">
        <w:rPr>
          <w:rFonts w:ascii="Times New Roman" w:hAnsi="Times New Roman" w:cs="Times New Roman"/>
          <w:color w:val="1A1A1A"/>
        </w:rPr>
        <w:t xml:space="preserve"> The Court decided that allowing the Tinkers to wear their armbands protesting the Vietnam conflict would not “substantially interfere with the work of the school or impinge </w:t>
      </w:r>
      <w:r>
        <w:rPr>
          <w:rFonts w:ascii="Times New Roman" w:hAnsi="Times New Roman" w:cs="Times New Roman"/>
          <w:color w:val="1A1A1A"/>
        </w:rPr>
        <w:t xml:space="preserve">[invade] </w:t>
      </w:r>
      <w:r w:rsidRPr="00BA3471">
        <w:rPr>
          <w:rFonts w:ascii="Times New Roman" w:hAnsi="Times New Roman" w:cs="Times New Roman"/>
          <w:color w:val="1A1A1A"/>
        </w:rPr>
        <w:t>upon the rights of other students.”  Wearing the armbands was a “silent, passive expression of opinion” that did not involve any “disorder or disturbance</w:t>
      </w:r>
      <w:r>
        <w:rPr>
          <w:rFonts w:ascii="Times New Roman" w:hAnsi="Times New Roman" w:cs="Times New Roman"/>
          <w:color w:val="1A1A1A"/>
        </w:rPr>
        <w:t xml:space="preserve">,” and was unlikely to cause a major disruption </w:t>
      </w:r>
      <w:r w:rsidRPr="00BA3471">
        <w:rPr>
          <w:rFonts w:ascii="Times New Roman" w:hAnsi="Times New Roman" w:cs="Times New Roman"/>
          <w:color w:val="1A1A1A"/>
        </w:rPr>
        <w:t>in the school.</w:t>
      </w:r>
      <w:r>
        <w:rPr>
          <w:rFonts w:ascii="Times New Roman" w:hAnsi="Times New Roman" w:cs="Times New Roman"/>
          <w:color w:val="1A1A1A"/>
        </w:rPr>
        <w:t xml:space="preserve"> The decision also</w:t>
      </w:r>
      <w:r w:rsidRPr="00BA3471">
        <w:rPr>
          <w:rFonts w:ascii="Times New Roman" w:hAnsi="Times New Roman" w:cs="Times New Roman"/>
          <w:color w:val="1A1A1A"/>
        </w:rPr>
        <w:t xml:space="preserve"> noted that the school officials specifically targeted anti-war </w:t>
      </w:r>
      <w:proofErr w:type="gramStart"/>
      <w:r w:rsidRPr="00BA3471">
        <w:rPr>
          <w:rFonts w:ascii="Times New Roman" w:hAnsi="Times New Roman" w:cs="Times New Roman"/>
          <w:color w:val="1A1A1A"/>
        </w:rPr>
        <w:t>armbands, but</w:t>
      </w:r>
      <w:proofErr w:type="gramEnd"/>
      <w:r w:rsidRPr="00BA3471">
        <w:rPr>
          <w:rFonts w:ascii="Times New Roman" w:hAnsi="Times New Roman" w:cs="Times New Roman"/>
          <w:color w:val="1A1A1A"/>
        </w:rPr>
        <w:t xml:space="preserve"> did not </w:t>
      </w:r>
      <w:r>
        <w:rPr>
          <w:rFonts w:ascii="Times New Roman" w:hAnsi="Times New Roman" w:cs="Times New Roman"/>
          <w:color w:val="1A1A1A"/>
        </w:rPr>
        <w:t>forbid</w:t>
      </w:r>
      <w:r w:rsidRPr="00BA3471">
        <w:rPr>
          <w:rFonts w:ascii="Times New Roman" w:hAnsi="Times New Roman" w:cs="Times New Roman"/>
          <w:color w:val="1A1A1A"/>
        </w:rPr>
        <w:t xml:space="preserve"> the wearing of any other symbols conveying a political message. </w:t>
      </w:r>
    </w:p>
    <w:p w14:paraId="646A2E7E" w14:textId="77777777" w:rsidR="00866A7E" w:rsidRDefault="00866A7E" w:rsidP="00866A7E">
      <w:pPr>
        <w:rPr>
          <w:rFonts w:ascii="Times New Roman" w:hAnsi="Times New Roman" w:cs="Times New Roman"/>
          <w:color w:val="1A1A1A"/>
        </w:rPr>
      </w:pPr>
    </w:p>
    <w:p w14:paraId="58868BE9" w14:textId="77777777" w:rsidR="00866A7E" w:rsidRDefault="00866A7E" w:rsidP="00866A7E">
      <w:pPr>
        <w:rPr>
          <w:rFonts w:ascii="Times New Roman" w:hAnsi="Times New Roman" w:cs="Times New Roman"/>
          <w:color w:val="1A1A1A"/>
        </w:rPr>
      </w:pPr>
      <w:r>
        <w:rPr>
          <w:rFonts w:ascii="Times New Roman" w:hAnsi="Times New Roman" w:cs="Times New Roman"/>
          <w:color w:val="1A1A1A"/>
        </w:rPr>
        <w:t xml:space="preserve">Tinker v. Des Moines set the legal precedent that students keep some of their First Amendment rights while in school and for school officials to deny these rights, they must show a substantial impact on the school and learning environment. </w:t>
      </w:r>
    </w:p>
    <w:p w14:paraId="43AAD1A2" w14:textId="72184126" w:rsidR="004B1AAA" w:rsidRPr="00866A7E" w:rsidRDefault="004B1AAA">
      <w:pPr>
        <w:rPr>
          <w:rFonts w:ascii="Times New Roman" w:hAnsi="Times New Roman" w:cs="Times New Roman"/>
          <w:color w:val="1A1A1A"/>
        </w:rPr>
      </w:pPr>
      <w:bookmarkStart w:id="0" w:name="_GoBack"/>
      <w:bookmarkEnd w:id="0"/>
    </w:p>
    <w:sectPr w:rsidR="004B1AAA" w:rsidRPr="0086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7E"/>
    <w:rsid w:val="004B1AAA"/>
    <w:rsid w:val="0086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3867"/>
  <w15:chartTrackingRefBased/>
  <w15:docId w15:val="{3C739040-756C-41F9-BF93-05E1946F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A7E"/>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66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ndmarkcases.pbworks.com/w/page/14738317/Tinker%20v%20Des%20Moines" TargetMode="External"/><Relationship Id="rId4" Type="http://schemas.openxmlformats.org/officeDocument/2006/relationships/hyperlink" Target="http://www.oyez.org/cases/1960-1969/1968/1968_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2020-02-26T14:26:00Z</dcterms:created>
  <dcterms:modified xsi:type="dcterms:W3CDTF">2020-02-26T14:27:00Z</dcterms:modified>
</cp:coreProperties>
</file>