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9332" w14:textId="77777777" w:rsidR="00116E4B" w:rsidRPr="00C3153B" w:rsidRDefault="00116E4B" w:rsidP="00116E4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 xml:space="preserve">Landmark </w:t>
      </w:r>
      <w:r w:rsidRPr="00C3153B">
        <w:rPr>
          <w:rFonts w:ascii="Times New Roman" w:hAnsi="Times New Roman" w:cs="Times New Roman"/>
          <w:b/>
          <w:color w:val="1A1A1A"/>
        </w:rPr>
        <w:t xml:space="preserve">U.S. Supreme Court Case Study </w:t>
      </w:r>
    </w:p>
    <w:p w14:paraId="0445DAA8" w14:textId="77777777" w:rsidR="00116E4B" w:rsidRDefault="00116E4B" w:rsidP="00116E4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i/>
          <w:color w:val="1A1A1A"/>
        </w:rPr>
        <w:t>District of Columbia v. Heller</w:t>
      </w:r>
      <w:r>
        <w:rPr>
          <w:rFonts w:ascii="Times New Roman" w:hAnsi="Times New Roman" w:cs="Times New Roman"/>
          <w:color w:val="1A1A1A"/>
        </w:rPr>
        <w:t xml:space="preserve"> | 2007 | Page One </w:t>
      </w:r>
    </w:p>
    <w:p w14:paraId="06E20B51" w14:textId="77777777" w:rsidR="00116E4B" w:rsidRPr="001739D3" w:rsidRDefault="00116E4B" w:rsidP="00116E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1739D3">
        <w:rPr>
          <w:rFonts w:ascii="Times New Roman" w:hAnsi="Times New Roman" w:cs="Times New Roman"/>
          <w:color w:val="1A1A1A"/>
          <w:sz w:val="20"/>
          <w:szCs w:val="20"/>
        </w:rPr>
        <w:t xml:space="preserve">Adapted from Oyez.org </w:t>
      </w:r>
      <w:hyperlink r:id="rId4" w:history="1">
        <w:r w:rsidRPr="00417E8C">
          <w:rPr>
            <w:rStyle w:val="Hyperlink"/>
            <w:sz w:val="20"/>
            <w:szCs w:val="20"/>
          </w:rPr>
          <w:t>http://www.oyez.org/cases/2000-2009/2007/2007_07_290</w:t>
        </w:r>
      </w:hyperlink>
      <w:r>
        <w:rPr>
          <w:sz w:val="20"/>
          <w:szCs w:val="20"/>
        </w:rPr>
        <w:t xml:space="preserve">, Time.com </w:t>
      </w:r>
      <w:hyperlink r:id="rId5" w:history="1">
        <w:r w:rsidRPr="00417E8C">
          <w:rPr>
            <w:rStyle w:val="Hyperlink"/>
            <w:sz w:val="20"/>
            <w:szCs w:val="20"/>
          </w:rPr>
          <w:t>http://www.time.com/time/specials/packages/article/0,28804,2036448_2036452_2036455,00.html</w:t>
        </w:r>
      </w:hyperlink>
      <w:r>
        <w:rPr>
          <w:sz w:val="20"/>
          <w:szCs w:val="20"/>
        </w:rPr>
        <w:t xml:space="preserve">,  </w:t>
      </w:r>
    </w:p>
    <w:p w14:paraId="28D8E351" w14:textId="77777777" w:rsidR="00116E4B" w:rsidRPr="001739D3" w:rsidRDefault="00116E4B" w:rsidP="00116E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sz w:val="20"/>
          <w:szCs w:val="20"/>
        </w:rPr>
      </w:pPr>
      <w:r w:rsidRPr="001739D3">
        <w:rPr>
          <w:rFonts w:ascii="Times New Roman" w:hAnsi="Times New Roman" w:cs="Times New Roman"/>
          <w:sz w:val="20"/>
          <w:szCs w:val="20"/>
        </w:rPr>
        <w:t xml:space="preserve">and Law.com </w:t>
      </w:r>
      <w:hyperlink r:id="rId6" w:history="1">
        <w:r w:rsidRPr="00417E8C">
          <w:rPr>
            <w:rStyle w:val="Hyperlink"/>
            <w:rFonts w:ascii="Times New Roman" w:hAnsi="Times New Roman" w:cs="Times New Roman"/>
            <w:sz w:val="20"/>
            <w:szCs w:val="20"/>
          </w:rPr>
          <w:t>http://cases.laws.com/dc-v-heller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55971" w14:textId="77777777" w:rsidR="00116E4B" w:rsidRDefault="00116E4B" w:rsidP="00116E4B">
      <w:pPr>
        <w:widowControl w:val="0"/>
        <w:autoSpaceDE w:val="0"/>
        <w:autoSpaceDN w:val="0"/>
        <w:adjustRightInd w:val="0"/>
        <w:jc w:val="center"/>
        <w:rPr>
          <w:rStyle w:val="Hyperlink"/>
          <w:rFonts w:ascii="Times New Roman" w:hAnsi="Times New Roman" w:cs="Times New Roman"/>
          <w:sz w:val="16"/>
          <w:szCs w:val="16"/>
        </w:rPr>
      </w:pPr>
    </w:p>
    <w:p w14:paraId="7946F567" w14:textId="77777777" w:rsidR="00116E4B" w:rsidRDefault="00116E4B" w:rsidP="00116E4B">
      <w:pPr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>Essential Question of the Case:</w:t>
      </w:r>
    </w:p>
    <w:p w14:paraId="32417857" w14:textId="77777777" w:rsidR="00116E4B" w:rsidRDefault="00116E4B" w:rsidP="00116E4B">
      <w:pPr>
        <w:widowControl w:val="0"/>
        <w:autoSpaceDE w:val="0"/>
        <w:autoSpaceDN w:val="0"/>
        <w:adjustRightInd w:val="0"/>
        <w:spacing w:after="120"/>
        <w:rPr>
          <w:rFonts w:ascii="Times New Roman" w:eastAsia="MS Mincho" w:hAnsi="Times New Roman" w:cs="Times New Roman"/>
          <w:color w:val="242424"/>
        </w:rPr>
      </w:pPr>
      <w:r>
        <w:rPr>
          <w:rFonts w:ascii="Times New Roman" w:eastAsia="MS Mincho" w:hAnsi="Times New Roman" w:cs="Times New Roman"/>
          <w:color w:val="242424"/>
        </w:rPr>
        <w:t>Do</w:t>
      </w:r>
      <w:r w:rsidRPr="00D42927">
        <w:rPr>
          <w:rFonts w:ascii="Times New Roman" w:eastAsia="MS Mincho" w:hAnsi="Times New Roman" w:cs="Times New Roman"/>
          <w:color w:val="242424"/>
        </w:rPr>
        <w:t xml:space="preserve"> </w:t>
      </w:r>
      <w:r>
        <w:rPr>
          <w:rFonts w:ascii="Times New Roman" w:eastAsia="MS Mincho" w:hAnsi="Times New Roman" w:cs="Times New Roman"/>
          <w:color w:val="242424"/>
        </w:rPr>
        <w:t>sections of the District of Columbia</w:t>
      </w:r>
      <w:r w:rsidRPr="00D42927">
        <w:rPr>
          <w:rFonts w:ascii="Times New Roman" w:eastAsia="MS Mincho" w:hAnsi="Times New Roman" w:cs="Times New Roman"/>
          <w:color w:val="242424"/>
        </w:rPr>
        <w:t xml:space="preserve"> Code </w:t>
      </w:r>
      <w:r>
        <w:rPr>
          <w:rFonts w:ascii="Times New Roman" w:eastAsia="MS Mincho" w:hAnsi="Times New Roman" w:cs="Times New Roman"/>
          <w:color w:val="242424"/>
        </w:rPr>
        <w:t xml:space="preserve">violate the Second Amendment? </w:t>
      </w:r>
    </w:p>
    <w:p w14:paraId="14B26844" w14:textId="77777777" w:rsidR="00116E4B" w:rsidRPr="00FA69FA" w:rsidRDefault="00116E4B" w:rsidP="00116E4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 w:rsidRPr="00FA69FA">
        <w:rPr>
          <w:rFonts w:ascii="Times New Roman" w:hAnsi="Times New Roman" w:cs="Times New Roman"/>
          <w:b/>
          <w:color w:val="1A1A1A"/>
        </w:rPr>
        <w:t>Background</w:t>
      </w:r>
    </w:p>
    <w:p w14:paraId="1B56B732" w14:textId="77777777" w:rsidR="00116E4B" w:rsidRDefault="00116E4B" w:rsidP="00116E4B">
      <w:pPr>
        <w:rPr>
          <w:rFonts w:ascii="Times New Roman" w:hAnsi="Times New Roman" w:cs="Times New Roman"/>
          <w:color w:val="1A1A1A"/>
        </w:rPr>
      </w:pPr>
      <w:r w:rsidRPr="004F5A9D">
        <w:rPr>
          <w:rFonts w:ascii="Times New Roman" w:hAnsi="Times New Roman" w:cs="Times New Roman"/>
          <w:color w:val="1A1A1A"/>
        </w:rPr>
        <w:t xml:space="preserve">After the District of Columbia </w:t>
      </w:r>
      <w:r>
        <w:rPr>
          <w:rFonts w:ascii="Times New Roman" w:hAnsi="Times New Roman" w:cs="Times New Roman"/>
          <w:color w:val="1A1A1A"/>
        </w:rPr>
        <w:t xml:space="preserve">(D.C.) </w:t>
      </w:r>
      <w:r w:rsidRPr="004F5A9D">
        <w:rPr>
          <w:rFonts w:ascii="Times New Roman" w:hAnsi="Times New Roman" w:cs="Times New Roman"/>
          <w:color w:val="1A1A1A"/>
        </w:rPr>
        <w:t>passed legislation barring the registration of handguns, requiring licenses for all pistols, and mandating that all legal firearms must be kept unloaded and disassembled or trigger locked, a group of private gun-owners</w:t>
      </w:r>
      <w:r>
        <w:rPr>
          <w:rFonts w:ascii="Times New Roman" w:hAnsi="Times New Roman" w:cs="Times New Roman"/>
          <w:color w:val="1A1A1A"/>
        </w:rPr>
        <w:t xml:space="preserve">, including a security guard named Dick Anthony Heller, sued the District of Columbia </w:t>
      </w:r>
      <w:r w:rsidRPr="004F5A9D">
        <w:rPr>
          <w:rFonts w:ascii="Times New Roman" w:hAnsi="Times New Roman" w:cs="Times New Roman"/>
          <w:color w:val="1A1A1A"/>
        </w:rPr>
        <w:t xml:space="preserve">claiming the laws violated their Second Amendment right to bear arms. The federal trial court in Washington D.C. </w:t>
      </w:r>
      <w:r>
        <w:rPr>
          <w:rFonts w:ascii="Times New Roman" w:hAnsi="Times New Roman" w:cs="Times New Roman"/>
          <w:color w:val="1A1A1A"/>
        </w:rPr>
        <w:t xml:space="preserve">sided with the District of Columbia and stated that </w:t>
      </w:r>
      <w:r w:rsidRPr="004F5A9D">
        <w:rPr>
          <w:rFonts w:ascii="Times New Roman" w:hAnsi="Times New Roman" w:cs="Times New Roman"/>
          <w:color w:val="1A1A1A"/>
        </w:rPr>
        <w:t>the Second Amendment applies only to militias</w:t>
      </w:r>
      <w:r>
        <w:rPr>
          <w:rFonts w:ascii="Times New Roman" w:hAnsi="Times New Roman" w:cs="Times New Roman"/>
          <w:color w:val="1A1A1A"/>
        </w:rPr>
        <w:t xml:space="preserve"> </w:t>
      </w:r>
      <w:r w:rsidRPr="004F5A9D">
        <w:rPr>
          <w:rFonts w:ascii="Times New Roman" w:hAnsi="Times New Roman" w:cs="Times New Roman"/>
          <w:color w:val="1A1A1A"/>
        </w:rPr>
        <w:t>such as the National Guard</w:t>
      </w:r>
      <w:r>
        <w:rPr>
          <w:rFonts w:ascii="Times New Roman" w:hAnsi="Times New Roman" w:cs="Times New Roman"/>
          <w:color w:val="1A1A1A"/>
        </w:rPr>
        <w:t xml:space="preserve"> </w:t>
      </w:r>
      <w:r w:rsidRPr="004F5A9D">
        <w:rPr>
          <w:rFonts w:ascii="Times New Roman" w:hAnsi="Times New Roman" w:cs="Times New Roman"/>
          <w:color w:val="1A1A1A"/>
        </w:rPr>
        <w:t>and not to private gun ownership.</w:t>
      </w:r>
    </w:p>
    <w:p w14:paraId="68BEBF5F" w14:textId="77777777" w:rsidR="00116E4B" w:rsidRDefault="00116E4B" w:rsidP="00116E4B">
      <w:pPr>
        <w:rPr>
          <w:rFonts w:ascii="Times New Roman" w:hAnsi="Times New Roman" w:cs="Times New Roman"/>
          <w:color w:val="1A1A1A"/>
        </w:rPr>
      </w:pPr>
    </w:p>
    <w:p w14:paraId="78C080EA" w14:textId="77777777" w:rsidR="00116E4B" w:rsidRDefault="00116E4B" w:rsidP="00116E4B">
      <w:pPr>
        <w:rPr>
          <w:rFonts w:ascii="Times New Roman" w:hAnsi="Times New Roman" w:cs="Times New Roman"/>
          <w:color w:val="1A1A1A"/>
        </w:rPr>
      </w:pPr>
      <w:r w:rsidRPr="004F5A9D">
        <w:rPr>
          <w:rFonts w:ascii="Times New Roman" w:hAnsi="Times New Roman" w:cs="Times New Roman"/>
          <w:color w:val="1A1A1A"/>
        </w:rPr>
        <w:t xml:space="preserve">The U.S. Court of Appeals for the District of Columbia Circuit disagreed, voting two to one that the Second Amendment </w:t>
      </w:r>
      <w:r>
        <w:rPr>
          <w:rFonts w:ascii="Times New Roman" w:hAnsi="Times New Roman" w:cs="Times New Roman"/>
          <w:color w:val="1A1A1A"/>
        </w:rPr>
        <w:t>does protect private gun owners.</w:t>
      </w:r>
    </w:p>
    <w:p w14:paraId="0C1E964F" w14:textId="77777777" w:rsidR="00116E4B" w:rsidRDefault="00116E4B" w:rsidP="00116E4B">
      <w:pPr>
        <w:rPr>
          <w:rFonts w:ascii="Times New Roman" w:hAnsi="Times New Roman" w:cs="Times New Roman"/>
          <w:color w:val="1A1A1A"/>
        </w:rPr>
      </w:pPr>
    </w:p>
    <w:p w14:paraId="1B0A6EB6" w14:textId="70D50771" w:rsidR="00116E4B" w:rsidRDefault="00116E4B" w:rsidP="00116E4B">
      <w:pPr>
        <w:rPr>
          <w:rFonts w:ascii="Times New Roman" w:hAnsi="Times New Roman" w:cs="Times New Roman"/>
          <w:b/>
          <w:color w:val="1A1A1A"/>
        </w:rPr>
      </w:pPr>
      <w:r w:rsidRPr="001B5B53">
        <w:rPr>
          <w:rFonts w:ascii="Times New Roman" w:hAnsi="Times New Roman" w:cs="Times New Roman"/>
          <w:b/>
          <w:color w:val="1A1A1A"/>
        </w:rPr>
        <w:t>Constitutional Principle</w:t>
      </w:r>
      <w:r>
        <w:rPr>
          <w:rFonts w:ascii="Times New Roman" w:hAnsi="Times New Roman" w:cs="Times New Roman"/>
          <w:b/>
          <w:color w:val="1A1A1A"/>
        </w:rPr>
        <w:t xml:space="preserve"> Related to the Case</w:t>
      </w:r>
      <w:r w:rsidRPr="0077105C">
        <w:rPr>
          <w:rFonts w:ascii="Times New Roman" w:hAnsi="Times New Roman" w:cs="Times New Roman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983DB" wp14:editId="264BD153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6400800" cy="702945"/>
                <wp:effectExtent l="7620" t="7620" r="11430" b="1333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431D6" w14:textId="77777777" w:rsidR="00116E4B" w:rsidRPr="00A952FD" w:rsidRDefault="00116E4B" w:rsidP="00116E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Times" w:eastAsia="MS Mincho" w:hAnsi="Times" w:cs="Times"/>
                                <w:color w:val="1D2024"/>
                              </w:rPr>
                            </w:pPr>
                            <w:r w:rsidRPr="00A952FD">
                              <w:rPr>
                                <w:rFonts w:ascii="Times" w:eastAsia="MS Mincho" w:hAnsi="Times" w:cs="Times"/>
                                <w:b/>
                                <w:bCs/>
                                <w:color w:val="1D2024"/>
                              </w:rPr>
                              <w:t>2</w:t>
                            </w:r>
                            <w:r w:rsidRPr="00A952FD">
                              <w:rPr>
                                <w:rFonts w:ascii="Times" w:eastAsia="MS Mincho" w:hAnsi="Times" w:cs="Times"/>
                                <w:b/>
                                <w:bCs/>
                                <w:color w:val="1D2024"/>
                                <w:vertAlign w:val="superscript"/>
                              </w:rPr>
                              <w:t>nd</w:t>
                            </w:r>
                            <w:r w:rsidRPr="00A952FD">
                              <w:rPr>
                                <w:rFonts w:ascii="Times" w:eastAsia="MS Mincho" w:hAnsi="Times" w:cs="Times"/>
                                <w:b/>
                                <w:bCs/>
                                <w:color w:val="1D2024"/>
                              </w:rPr>
                              <w:t xml:space="preserve"> Amendment </w:t>
                            </w:r>
                            <w:r w:rsidRPr="00A952FD">
                              <w:rPr>
                                <w:rFonts w:ascii="Times" w:eastAsia="MS Mincho" w:hAnsi="Times" w:cs="Times"/>
                                <w:bCs/>
                                <w:color w:val="1D2024"/>
                              </w:rPr>
                              <w:t xml:space="preserve">A </w:t>
                            </w:r>
                            <w:proofErr w:type="spellStart"/>
                            <w:r w:rsidRPr="00A952FD">
                              <w:rPr>
                                <w:rFonts w:ascii="Times" w:eastAsia="MS Mincho" w:hAnsi="Times" w:cs="Times"/>
                                <w:bCs/>
                                <w:color w:val="1D2024"/>
                              </w:rPr>
                              <w:t>well regulated</w:t>
                            </w:r>
                            <w:proofErr w:type="spellEnd"/>
                            <w:r w:rsidRPr="00A952FD">
                              <w:rPr>
                                <w:rFonts w:ascii="Times" w:eastAsia="MS Mincho" w:hAnsi="Times" w:cs="Times"/>
                                <w:bCs/>
                                <w:color w:val="1D2024"/>
                              </w:rPr>
                              <w:t xml:space="preserve"> Militia, being necessary to the security of a free State, the right of the people to keep and bear Arms, shall not be infringed.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983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25pt;width:7in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bFgAIAAA8FAAAOAAAAZHJzL2Uyb0RvYy54bWysVF1v2yAUfZ+0/4B4T21nTppYcaouTqZJ&#10;3YfU7gcQjGM0DAxI7K7af98FkjRdX6ZpfsDAvT6cwz3Xi5uhE+jAjOVKlji7SjFikqqay12Jvz1s&#10;RjOMrCOyJkJJVuJHZvHN8u2bRa8LNlatEjUzCECkLXpd4tY5XSSJpS3riL1SmkkINsp0xMHS7JLa&#10;kB7QO5GM03Sa9MrU2ijKrIXdKgbxMuA3DaPuS9NY5pAoMXBzYTRh3PoxWS5IsTNEt5weaZB/YNER&#10;LuHQM1RFHEF7w19BdZwaZVXjrqjqEtU0nLKgAdRk6R9q7luiWdACl2P1+Zrs/4Olnw9fDeI11A4j&#10;SToo0QMbHHqvBpT52+m1LSDpXkOaG2DbZ3qlVt8p+t0iqVYtkTt2a4zqW0ZqYBe+TC4+jTjWg2z7&#10;T6qGY8jeqQA0NKbzgHAZCNChSo/nyngqFDaneZrOUghRiF2n43k+8eQSUpy+1sa6D0x1yE9KbKDy&#10;AZ0c7qyLqacUf5hUGy5EqL6QqC/xfDKeRF1K8NoHg0iz266EQQfi/ROe47n2Mq3jDlwseFdiYAlP&#10;9JW/jbWswymOcBHnQFpIDw7igNtxFt3yNE/n69l6lo/y8XQ9ytOqGt1uVvlousmuJ9W7arWqsl+e&#10;Z5YXLa9rJj3Vk3Oz/O+cceyh6Lmzd19IspfKN+F5rTx5SSMUBFSd3kFdsIGvfPSAG7YDXIj3xlbV&#10;j2AIo2JXwl8EJq0yPzHqoSNLbH/siWEYiY8STDXP8ty3cFjkk+sxLMxlZHsZIZICVIkdRnG6crHt&#10;99rwXQsnRRtLdQtGbHjwyDMrkOAX0HVBzPEP4dv6ch2ynv9jy98AAAD//wMAUEsDBBQABgAIAAAA&#10;IQApeyAj3AAAAAgBAAAPAAAAZHJzL2Rvd25yZXYueG1sTI9BT8MwDIXvSPyHyEjcWEK3slGaTojB&#10;nZUBV7fx2oomqZpsK/x6vBPcbD/7+Xv5erK9ONIYOu803M4UCHK1N51rNOzeXm5WIEJEZ7D3jjR8&#10;U4B1cXmRY2b8yW3pWMZGsIkLGWpoYxwyKUPdksUw8wM51vZ+tBi5HRtpRjyxue1lotSdtNg5/tDi&#10;QE8t1V/lwTJG8rmbb15LWi6xmm+ef97v9x+91tdX0+MDiEhT/FuGMz7fQMFMlT84E0SvgYNEDYtF&#10;CuKsKrXiScVVmiYgi1z+D1D8AgAA//8DAFBLAQItABQABgAIAAAAIQC2gziS/gAAAOEBAAATAAAA&#10;AAAAAAAAAAAAAAAAAABbQ29udGVudF9UeXBlc10ueG1sUEsBAi0AFAAGAAgAAAAhADj9If/WAAAA&#10;lAEAAAsAAAAAAAAAAAAAAAAALwEAAF9yZWxzLy5yZWxzUEsBAi0AFAAGAAgAAAAhANNLhsWAAgAA&#10;DwUAAA4AAAAAAAAAAAAAAAAALgIAAGRycy9lMm9Eb2MueG1sUEsBAi0AFAAGAAgAAAAhACl7ICPc&#10;AAAACAEAAA8AAAAAAAAAAAAAAAAA2gQAAGRycy9kb3ducmV2LnhtbFBLBQYAAAAABAAEAPMAAADj&#10;BQAAAAA=&#10;" filled="f">
                <v:textbox>
                  <w:txbxContent>
                    <w:p w14:paraId="703431D6" w14:textId="77777777" w:rsidR="00116E4B" w:rsidRPr="00A952FD" w:rsidRDefault="00116E4B" w:rsidP="00116E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Times" w:eastAsia="MS Mincho" w:hAnsi="Times" w:cs="Times"/>
                          <w:color w:val="1D2024"/>
                        </w:rPr>
                      </w:pPr>
                      <w:r w:rsidRPr="00A952FD">
                        <w:rPr>
                          <w:rFonts w:ascii="Times" w:eastAsia="MS Mincho" w:hAnsi="Times" w:cs="Times"/>
                          <w:b/>
                          <w:bCs/>
                          <w:color w:val="1D2024"/>
                        </w:rPr>
                        <w:t>2</w:t>
                      </w:r>
                      <w:r w:rsidRPr="00A952FD">
                        <w:rPr>
                          <w:rFonts w:ascii="Times" w:eastAsia="MS Mincho" w:hAnsi="Times" w:cs="Times"/>
                          <w:b/>
                          <w:bCs/>
                          <w:color w:val="1D2024"/>
                          <w:vertAlign w:val="superscript"/>
                        </w:rPr>
                        <w:t>nd</w:t>
                      </w:r>
                      <w:r w:rsidRPr="00A952FD">
                        <w:rPr>
                          <w:rFonts w:ascii="Times" w:eastAsia="MS Mincho" w:hAnsi="Times" w:cs="Times"/>
                          <w:b/>
                          <w:bCs/>
                          <w:color w:val="1D2024"/>
                        </w:rPr>
                        <w:t xml:space="preserve"> Amendment </w:t>
                      </w:r>
                      <w:r w:rsidRPr="00A952FD">
                        <w:rPr>
                          <w:rFonts w:ascii="Times" w:eastAsia="MS Mincho" w:hAnsi="Times" w:cs="Times"/>
                          <w:bCs/>
                          <w:color w:val="1D2024"/>
                        </w:rPr>
                        <w:t xml:space="preserve">A </w:t>
                      </w:r>
                      <w:proofErr w:type="spellStart"/>
                      <w:r w:rsidRPr="00A952FD">
                        <w:rPr>
                          <w:rFonts w:ascii="Times" w:eastAsia="MS Mincho" w:hAnsi="Times" w:cs="Times"/>
                          <w:bCs/>
                          <w:color w:val="1D2024"/>
                        </w:rPr>
                        <w:t>well regulated</w:t>
                      </w:r>
                      <w:proofErr w:type="spellEnd"/>
                      <w:r w:rsidRPr="00A952FD">
                        <w:rPr>
                          <w:rFonts w:ascii="Times" w:eastAsia="MS Mincho" w:hAnsi="Times" w:cs="Times"/>
                          <w:bCs/>
                          <w:color w:val="1D2024"/>
                        </w:rPr>
                        <w:t xml:space="preserve"> Militia, being necessary to the security of a free State, the right of the people to keep and bear Arms, shall not be infringed.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45F955" w14:textId="77777777" w:rsidR="00116E4B" w:rsidRDefault="00116E4B" w:rsidP="00116E4B">
      <w:pPr>
        <w:jc w:val="both"/>
        <w:rPr>
          <w:rFonts w:ascii="Times New Roman" w:hAnsi="Times New Roman" w:cs="Times New Roman"/>
          <w:b/>
          <w:color w:val="1A1A1A"/>
        </w:rPr>
      </w:pPr>
    </w:p>
    <w:p w14:paraId="697B1B13" w14:textId="77777777" w:rsidR="00116E4B" w:rsidRDefault="00116E4B" w:rsidP="00116E4B">
      <w:pPr>
        <w:rPr>
          <w:rFonts w:ascii="Times New Roman" w:hAnsi="Times New Roman" w:cs="Times New Roman"/>
          <w:b/>
          <w:color w:val="1A1A1A"/>
        </w:rPr>
      </w:pPr>
    </w:p>
    <w:p w14:paraId="23C263EE" w14:textId="7D6D9AE4" w:rsidR="00116E4B" w:rsidRPr="00C3153B" w:rsidRDefault="00116E4B" w:rsidP="00116E4B">
      <w:pPr>
        <w:ind w:left="216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 xml:space="preserve">Landmark </w:t>
      </w:r>
      <w:r w:rsidRPr="00C3153B">
        <w:rPr>
          <w:rFonts w:ascii="Times New Roman" w:hAnsi="Times New Roman" w:cs="Times New Roman"/>
          <w:b/>
          <w:color w:val="1A1A1A"/>
        </w:rPr>
        <w:t>U.S. Supreme Court Case Study</w:t>
      </w:r>
    </w:p>
    <w:p w14:paraId="73806FC2" w14:textId="77777777" w:rsidR="00116E4B" w:rsidRDefault="00116E4B" w:rsidP="00116E4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i/>
          <w:color w:val="1A1A1A"/>
        </w:rPr>
        <w:t>District of Columbia v. Heller</w:t>
      </w:r>
      <w:r>
        <w:rPr>
          <w:rFonts w:ascii="Times New Roman" w:hAnsi="Times New Roman" w:cs="Times New Roman"/>
          <w:color w:val="1A1A1A"/>
        </w:rPr>
        <w:t xml:space="preserve"> | 2007 | Page Two</w:t>
      </w:r>
    </w:p>
    <w:p w14:paraId="214C5E90" w14:textId="77777777" w:rsidR="00116E4B" w:rsidRDefault="00116E4B" w:rsidP="00116E4B">
      <w:pPr>
        <w:rPr>
          <w:rFonts w:ascii="Times New Roman" w:hAnsi="Times New Roman" w:cs="Times New Roman"/>
          <w:b/>
          <w:color w:val="1D2024"/>
        </w:rPr>
      </w:pPr>
    </w:p>
    <w:p w14:paraId="09D4822C" w14:textId="77777777" w:rsidR="00116E4B" w:rsidRPr="0021647A" w:rsidRDefault="00116E4B" w:rsidP="00116E4B">
      <w:pPr>
        <w:rPr>
          <w:rFonts w:ascii="Times New Roman" w:hAnsi="Times New Roman" w:cs="Times New Roman"/>
          <w:b/>
          <w:color w:val="1D2024"/>
        </w:rPr>
      </w:pPr>
      <w:r w:rsidRPr="001B5B53">
        <w:rPr>
          <w:rFonts w:ascii="Times New Roman" w:hAnsi="Times New Roman" w:cs="Times New Roman"/>
          <w:b/>
          <w:color w:val="1D2024"/>
        </w:rPr>
        <w:t xml:space="preserve">Decision &amp; Impact </w:t>
      </w:r>
    </w:p>
    <w:p w14:paraId="38928CE1" w14:textId="77777777" w:rsidR="00116E4B" w:rsidRDefault="00116E4B" w:rsidP="00116E4B">
      <w:pPr>
        <w:rPr>
          <w:rFonts w:ascii="Times New Roman" w:eastAsia="MS Mincho" w:hAnsi="Times New Roman" w:cs="Times New Roman"/>
          <w:color w:val="262626"/>
        </w:rPr>
      </w:pPr>
    </w:p>
    <w:p w14:paraId="693364BC" w14:textId="77777777" w:rsidR="00116E4B" w:rsidRDefault="00116E4B" w:rsidP="00116E4B">
      <w:pPr>
        <w:widowControl w:val="0"/>
        <w:autoSpaceDE w:val="0"/>
        <w:autoSpaceDN w:val="0"/>
        <w:adjustRightInd w:val="0"/>
        <w:rPr>
          <w:rFonts w:ascii="Helvetica" w:eastAsia="MS Mincho" w:hAnsi="Helvetica" w:cs="Helvetica"/>
          <w:sz w:val="32"/>
          <w:szCs w:val="32"/>
        </w:rPr>
      </w:pPr>
      <w:r w:rsidRPr="00182798">
        <w:rPr>
          <w:rFonts w:ascii="Times New Roman" w:eastAsia="MS Mincho" w:hAnsi="Times New Roman" w:cs="Times New Roman"/>
          <w:i/>
          <w:color w:val="262626"/>
        </w:rPr>
        <w:t>District of Columbia v. Heller</w:t>
      </w:r>
      <w:r w:rsidRPr="001A5D1E">
        <w:rPr>
          <w:rFonts w:ascii="Times New Roman" w:eastAsia="MS Mincho" w:hAnsi="Times New Roman" w:cs="Times New Roman"/>
          <w:color w:val="262626"/>
        </w:rPr>
        <w:t xml:space="preserve"> was the first </w:t>
      </w:r>
      <w:r>
        <w:rPr>
          <w:rFonts w:ascii="Times New Roman" w:eastAsia="MS Mincho" w:hAnsi="Times New Roman" w:cs="Times New Roman"/>
          <w:color w:val="262626"/>
        </w:rPr>
        <w:t xml:space="preserve">U.S. Supreme Court </w:t>
      </w:r>
      <w:r w:rsidRPr="001A5D1E">
        <w:rPr>
          <w:rFonts w:ascii="Times New Roman" w:eastAsia="MS Mincho" w:hAnsi="Times New Roman" w:cs="Times New Roman"/>
          <w:color w:val="262626"/>
        </w:rPr>
        <w:t>case to decide whether the Second Amendment protects an individual’s right to keep and</w:t>
      </w:r>
      <w:r>
        <w:rPr>
          <w:rFonts w:ascii="Times New Roman" w:eastAsia="MS Mincho" w:hAnsi="Times New Roman" w:cs="Times New Roman"/>
          <w:color w:val="262626"/>
        </w:rPr>
        <w:t xml:space="preserve"> bear arms for self-defense. Some consider this case to be the </w:t>
      </w:r>
      <w:r w:rsidRPr="004C0DDB">
        <w:rPr>
          <w:rFonts w:ascii="Times New Roman" w:eastAsia="MS Mincho" w:hAnsi="Times New Roman" w:cs="Times New Roman"/>
          <w:color w:val="242424"/>
        </w:rPr>
        <w:t>most important government statement regarding guns in the U.S. since the Second Amendment was ratified in 1791.</w:t>
      </w:r>
      <w:r>
        <w:rPr>
          <w:rFonts w:ascii="Times New Roman" w:eastAsia="MS Mincho" w:hAnsi="Times New Roman" w:cs="Times New Roman"/>
          <w:color w:val="242424"/>
        </w:rPr>
        <w:t xml:space="preserve"> </w:t>
      </w:r>
    </w:p>
    <w:p w14:paraId="73AC67B2" w14:textId="77777777" w:rsidR="00116E4B" w:rsidRPr="00B05B3B" w:rsidRDefault="00116E4B" w:rsidP="00116E4B">
      <w:pPr>
        <w:widowControl w:val="0"/>
        <w:autoSpaceDE w:val="0"/>
        <w:autoSpaceDN w:val="0"/>
        <w:adjustRightInd w:val="0"/>
        <w:rPr>
          <w:rFonts w:ascii="Helvetica" w:eastAsia="MS Mincho" w:hAnsi="Helvetica" w:cs="Helvetica"/>
        </w:rPr>
      </w:pPr>
    </w:p>
    <w:p w14:paraId="38130AFB" w14:textId="77777777" w:rsidR="00116E4B" w:rsidRPr="004C0DDB" w:rsidRDefault="00116E4B" w:rsidP="00116E4B">
      <w:pPr>
        <w:rPr>
          <w:rFonts w:ascii="Times New Roman" w:eastAsia="MS Mincho" w:hAnsi="Times New Roman" w:cs="Times New Roman"/>
          <w:color w:val="242424"/>
        </w:rPr>
      </w:pPr>
      <w:r w:rsidRPr="00792E4C">
        <w:rPr>
          <w:rFonts w:ascii="Times New Roman" w:eastAsia="MS Mincho" w:hAnsi="Times New Roman" w:cs="Times New Roman"/>
          <w:color w:val="242424"/>
        </w:rPr>
        <w:t xml:space="preserve">In a 5-4 decision, the Court </w:t>
      </w:r>
      <w:r>
        <w:rPr>
          <w:rFonts w:ascii="Times New Roman" w:eastAsia="MS Mincho" w:hAnsi="Times New Roman" w:cs="Times New Roman"/>
          <w:color w:val="242424"/>
        </w:rPr>
        <w:t>determined</w:t>
      </w:r>
      <w:r w:rsidRPr="00792E4C">
        <w:rPr>
          <w:rFonts w:ascii="Times New Roman" w:eastAsia="MS Mincho" w:hAnsi="Times New Roman" w:cs="Times New Roman"/>
          <w:color w:val="242424"/>
        </w:rPr>
        <w:t xml:space="preserve"> that the Second Amendment protects an individual</w:t>
      </w:r>
      <w:r>
        <w:rPr>
          <w:rFonts w:ascii="Times New Roman" w:eastAsia="MS Mincho" w:hAnsi="Times New Roman" w:cs="Times New Roman"/>
          <w:color w:val="242424"/>
        </w:rPr>
        <w:t>’s</w:t>
      </w:r>
      <w:r w:rsidRPr="00792E4C">
        <w:rPr>
          <w:rFonts w:ascii="Times New Roman" w:eastAsia="MS Mincho" w:hAnsi="Times New Roman" w:cs="Times New Roman"/>
          <w:color w:val="242424"/>
        </w:rPr>
        <w:t xml:space="preserve"> right to possess a firearm unconnected with service in a militia, and to use that firearm for traditionally</w:t>
      </w:r>
      <w:r>
        <w:rPr>
          <w:rFonts w:ascii="Times New Roman" w:eastAsia="MS Mincho" w:hAnsi="Times New Roman" w:cs="Times New Roman"/>
          <w:color w:val="242424"/>
        </w:rPr>
        <w:t xml:space="preserve"> lawful purposes, such as self-</w:t>
      </w:r>
      <w:r w:rsidRPr="00792E4C">
        <w:rPr>
          <w:rFonts w:ascii="Times New Roman" w:eastAsia="MS Mincho" w:hAnsi="Times New Roman" w:cs="Times New Roman"/>
          <w:color w:val="242424"/>
        </w:rPr>
        <w:t xml:space="preserve">defense within the home. The Court based its </w:t>
      </w:r>
      <w:r>
        <w:rPr>
          <w:rFonts w:ascii="Times New Roman" w:eastAsia="MS Mincho" w:hAnsi="Times New Roman" w:cs="Times New Roman"/>
          <w:color w:val="242424"/>
        </w:rPr>
        <w:t>decision</w:t>
      </w:r>
      <w:r w:rsidRPr="00792E4C">
        <w:rPr>
          <w:rFonts w:ascii="Times New Roman" w:eastAsia="MS Mincho" w:hAnsi="Times New Roman" w:cs="Times New Roman"/>
          <w:color w:val="242424"/>
        </w:rPr>
        <w:t xml:space="preserve"> on the text of the Second Amendment, as well as language in state constitutions adopted soon after the Second Amendment. </w:t>
      </w:r>
    </w:p>
    <w:p w14:paraId="4D9907A4" w14:textId="77777777" w:rsidR="00116E4B" w:rsidRDefault="00116E4B" w:rsidP="00116E4B">
      <w:pPr>
        <w:rPr>
          <w:rFonts w:ascii="Times New Roman" w:eastAsia="MS Mincho" w:hAnsi="Times New Roman" w:cs="Times New Roman"/>
          <w:color w:val="242424"/>
        </w:rPr>
      </w:pPr>
    </w:p>
    <w:p w14:paraId="030E0222" w14:textId="153A18C5" w:rsidR="004912B1" w:rsidRPr="00116E4B" w:rsidRDefault="004912B1">
      <w:pPr>
        <w:rPr>
          <w:rFonts w:ascii="Times New Roman" w:hAnsi="Times New Roman" w:cs="Times New Roman"/>
          <w:b/>
          <w:color w:val="1A1A1A"/>
        </w:rPr>
      </w:pPr>
      <w:bookmarkStart w:id="0" w:name="_GoBack"/>
      <w:bookmarkEnd w:id="0"/>
    </w:p>
    <w:sectPr w:rsidR="004912B1" w:rsidRPr="0011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4B"/>
    <w:rsid w:val="00116E4B"/>
    <w:rsid w:val="004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98F2"/>
  <w15:chartTrackingRefBased/>
  <w15:docId w15:val="{723B40F2-6D09-41A5-B058-A22DDB76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6E4B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16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ses.laws.com/dc-v-heller" TargetMode="External"/><Relationship Id="rId5" Type="http://schemas.openxmlformats.org/officeDocument/2006/relationships/hyperlink" Target="http://www.time.com/time/specials/packages/article/0,28804,2036448_2036452_2036455,00.html" TargetMode="External"/><Relationship Id="rId4" Type="http://schemas.openxmlformats.org/officeDocument/2006/relationships/hyperlink" Target="http://www.oyez.org/cases/2000-2009/2007/2007_07_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1</cp:revision>
  <dcterms:created xsi:type="dcterms:W3CDTF">2020-03-06T20:27:00Z</dcterms:created>
  <dcterms:modified xsi:type="dcterms:W3CDTF">2020-03-06T20:28:00Z</dcterms:modified>
</cp:coreProperties>
</file>