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5ECE" w14:textId="77777777" w:rsidR="007A2201" w:rsidRPr="00AE4EE0" w:rsidRDefault="007A2201" w:rsidP="007A2201">
      <w:pPr>
        <w:jc w:val="center"/>
        <w:rPr>
          <w:rFonts w:ascii="Times New Roman" w:hAnsi="Times New Roman" w:cs="Times New Roman"/>
          <w:b/>
          <w:i/>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63D9E1BF" w14:textId="77777777" w:rsidR="007A2201" w:rsidRDefault="007A2201" w:rsidP="007A2201">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In re Gault</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One </w:t>
      </w:r>
    </w:p>
    <w:p w14:paraId="38B63F38" w14:textId="77777777" w:rsidR="007A2201" w:rsidRPr="00C24AE6" w:rsidRDefault="007A2201" w:rsidP="007A2201">
      <w:pPr>
        <w:widowControl w:val="0"/>
        <w:autoSpaceDE w:val="0"/>
        <w:autoSpaceDN w:val="0"/>
        <w:adjustRightInd w:val="0"/>
        <w:jc w:val="center"/>
        <w:rPr>
          <w:rFonts w:ascii="Times New Roman" w:hAnsi="Times New Roman" w:cs="Times New Roman"/>
          <w:color w:val="1A1A1A"/>
        </w:rPr>
      </w:pPr>
      <w:r w:rsidRPr="00C24AE6">
        <w:rPr>
          <w:rFonts w:ascii="Times New Roman" w:hAnsi="Times New Roman" w:cs="Times New Roman"/>
          <w:color w:val="1A1A1A"/>
        </w:rPr>
        <w:t xml:space="preserve">Adapted from Oyez.org </w:t>
      </w:r>
      <w:hyperlink r:id="rId4" w:history="1">
        <w:r w:rsidRPr="00417E8C">
          <w:rPr>
            <w:rStyle w:val="Hyperlink"/>
            <w:rFonts w:ascii="Times New Roman" w:hAnsi="Times New Roman" w:cs="Times New Roman"/>
          </w:rPr>
          <w:t>http://www.oyez.org/cases/1960-1969/1966/1966_116</w:t>
        </w:r>
      </w:hyperlink>
      <w:r>
        <w:rPr>
          <w:rFonts w:ascii="Times New Roman" w:hAnsi="Times New Roman" w:cs="Times New Roman"/>
          <w:color w:val="1A1A1A"/>
        </w:rPr>
        <w:t xml:space="preserve"> </w:t>
      </w:r>
    </w:p>
    <w:p w14:paraId="42A41139" w14:textId="77777777" w:rsidR="007A2201" w:rsidRPr="00C24AE6" w:rsidRDefault="007A2201" w:rsidP="007A2201">
      <w:pPr>
        <w:widowControl w:val="0"/>
        <w:autoSpaceDE w:val="0"/>
        <w:autoSpaceDN w:val="0"/>
        <w:adjustRightInd w:val="0"/>
        <w:jc w:val="center"/>
        <w:rPr>
          <w:rFonts w:ascii="Times New Roman" w:hAnsi="Times New Roman" w:cs="Times New Roman"/>
          <w:color w:val="1A1A1A"/>
        </w:rPr>
      </w:pPr>
      <w:r w:rsidRPr="00C24AE6">
        <w:rPr>
          <w:rFonts w:ascii="Times New Roman" w:hAnsi="Times New Roman" w:cs="Times New Roman"/>
          <w:color w:val="1A1A1A"/>
        </w:rPr>
        <w:t xml:space="preserve"> and Laws.com </w:t>
      </w:r>
      <w:hyperlink r:id="rId5" w:history="1">
        <w:r w:rsidRPr="00417E8C">
          <w:rPr>
            <w:rStyle w:val="Hyperlink"/>
            <w:rFonts w:ascii="Times New Roman" w:hAnsi="Times New Roman" w:cs="Times New Roman"/>
          </w:rPr>
          <w:t>http://criminal-justice.laws.com/in-re-gault</w:t>
        </w:r>
      </w:hyperlink>
      <w:r>
        <w:rPr>
          <w:rFonts w:ascii="Times New Roman" w:hAnsi="Times New Roman" w:cs="Times New Roman"/>
          <w:color w:val="1A1A1A"/>
        </w:rPr>
        <w:t xml:space="preserve"> </w:t>
      </w:r>
    </w:p>
    <w:p w14:paraId="2B35954B" w14:textId="77777777" w:rsidR="007A2201" w:rsidRDefault="007A2201" w:rsidP="007A2201">
      <w:pPr>
        <w:rPr>
          <w:rFonts w:ascii="Times New Roman" w:hAnsi="Times New Roman" w:cs="Times New Roman"/>
          <w:b/>
          <w:color w:val="1A1A1A"/>
        </w:rPr>
      </w:pPr>
    </w:p>
    <w:p w14:paraId="41AD3311" w14:textId="77777777" w:rsidR="007A2201" w:rsidRDefault="007A2201" w:rsidP="007A2201">
      <w:pPr>
        <w:rPr>
          <w:rFonts w:ascii="Times New Roman" w:hAnsi="Times New Roman" w:cs="Times New Roman"/>
          <w:b/>
          <w:color w:val="1A1A1A"/>
        </w:rPr>
      </w:pPr>
      <w:r>
        <w:rPr>
          <w:rFonts w:ascii="Times New Roman" w:hAnsi="Times New Roman" w:cs="Times New Roman"/>
          <w:b/>
          <w:color w:val="1A1A1A"/>
        </w:rPr>
        <w:t>Essential Question of the Case:</w:t>
      </w:r>
    </w:p>
    <w:p w14:paraId="2C8CDE55" w14:textId="77777777" w:rsidR="007A2201" w:rsidRDefault="007A2201" w:rsidP="007A2201">
      <w:pPr>
        <w:widowControl w:val="0"/>
        <w:autoSpaceDE w:val="0"/>
        <w:autoSpaceDN w:val="0"/>
        <w:adjustRightInd w:val="0"/>
        <w:spacing w:after="120"/>
        <w:rPr>
          <w:rFonts w:ascii="Times New Roman" w:hAnsi="Times New Roman" w:cs="Times New Roman"/>
          <w:color w:val="1D2024"/>
        </w:rPr>
      </w:pPr>
      <w:r w:rsidRPr="00C24AE6">
        <w:rPr>
          <w:rFonts w:ascii="Times New Roman" w:hAnsi="Times New Roman" w:cs="Times New Roman"/>
          <w:color w:val="1D2024"/>
        </w:rPr>
        <w:t>Were the procedures used to commit</w:t>
      </w:r>
      <w:r>
        <w:rPr>
          <w:rFonts w:ascii="Times New Roman" w:hAnsi="Times New Roman" w:cs="Times New Roman"/>
          <w:color w:val="1D2024"/>
        </w:rPr>
        <w:t xml:space="preserve"> [arrest] Gault constitutional under the due process c</w:t>
      </w:r>
      <w:r w:rsidRPr="00C24AE6">
        <w:rPr>
          <w:rFonts w:ascii="Times New Roman" w:hAnsi="Times New Roman" w:cs="Times New Roman"/>
          <w:color w:val="1D2024"/>
        </w:rPr>
        <w:t xml:space="preserve">lause of the </w:t>
      </w:r>
      <w:r>
        <w:rPr>
          <w:rFonts w:ascii="Times New Roman" w:hAnsi="Times New Roman" w:cs="Times New Roman"/>
          <w:color w:val="1D2024"/>
        </w:rPr>
        <w:t>Fourteenth</w:t>
      </w:r>
      <w:r w:rsidRPr="00C24AE6">
        <w:rPr>
          <w:rFonts w:ascii="Times New Roman" w:hAnsi="Times New Roman" w:cs="Times New Roman"/>
          <w:color w:val="1D2024"/>
        </w:rPr>
        <w:t xml:space="preserve"> Amendment?</w:t>
      </w:r>
    </w:p>
    <w:p w14:paraId="333A1D79" w14:textId="77777777" w:rsidR="007A2201" w:rsidRPr="00FA69FA" w:rsidRDefault="007A2201" w:rsidP="007A2201">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57898672" w14:textId="77777777" w:rsidR="007A2201" w:rsidRPr="0089402D" w:rsidRDefault="007A2201" w:rsidP="007A2201">
      <w:pPr>
        <w:rPr>
          <w:rFonts w:ascii="Times New Roman" w:hAnsi="Times New Roman" w:cs="Times New Roman"/>
          <w:color w:val="1A1A1A"/>
        </w:rPr>
      </w:pPr>
      <w:r w:rsidRPr="0089402D">
        <w:rPr>
          <w:rFonts w:ascii="Times New Roman" w:hAnsi="Times New Roman" w:cs="Times New Roman"/>
          <w:color w:val="1A1A1A"/>
        </w:rPr>
        <w:t xml:space="preserve">On June 8, 1964, the Sheriff of Gila County, Arizona took Gerald Gault, a 15-year old boy, into custody without notifying </w:t>
      </w:r>
      <w:r>
        <w:rPr>
          <w:rFonts w:ascii="Times New Roman" w:hAnsi="Times New Roman" w:cs="Times New Roman"/>
          <w:color w:val="1A1A1A"/>
        </w:rPr>
        <w:t>his</w:t>
      </w:r>
      <w:r w:rsidRPr="0089402D">
        <w:rPr>
          <w:rFonts w:ascii="Times New Roman" w:hAnsi="Times New Roman" w:cs="Times New Roman"/>
          <w:color w:val="1A1A1A"/>
        </w:rPr>
        <w:t xml:space="preserve"> parents. Gault was a</w:t>
      </w:r>
      <w:r>
        <w:rPr>
          <w:rFonts w:ascii="Times New Roman" w:hAnsi="Times New Roman" w:cs="Times New Roman"/>
          <w:color w:val="1A1A1A"/>
        </w:rPr>
        <w:t>rrested</w:t>
      </w:r>
      <w:r w:rsidRPr="0089402D">
        <w:rPr>
          <w:rFonts w:ascii="Times New Roman" w:hAnsi="Times New Roman" w:cs="Times New Roman"/>
          <w:color w:val="1A1A1A"/>
        </w:rPr>
        <w:t xml:space="preserve"> after a neighbor complained of receiving offensive prank calls. Gault’s mot</w:t>
      </w:r>
      <w:r>
        <w:rPr>
          <w:rFonts w:ascii="Times New Roman" w:hAnsi="Times New Roman" w:cs="Times New Roman"/>
          <w:color w:val="1A1A1A"/>
        </w:rPr>
        <w:t xml:space="preserve">her eventually located the </w:t>
      </w:r>
      <w:r w:rsidRPr="0089402D">
        <w:rPr>
          <w:rFonts w:ascii="Times New Roman" w:hAnsi="Times New Roman" w:cs="Times New Roman"/>
          <w:color w:val="1A1A1A"/>
        </w:rPr>
        <w:t xml:space="preserve">boy, but he remained in custody. The only notification the </w:t>
      </w:r>
      <w:proofErr w:type="spellStart"/>
      <w:r w:rsidRPr="0089402D">
        <w:rPr>
          <w:rFonts w:ascii="Times New Roman" w:hAnsi="Times New Roman" w:cs="Times New Roman"/>
          <w:color w:val="1A1A1A"/>
        </w:rPr>
        <w:t>Gaults</w:t>
      </w:r>
      <w:proofErr w:type="spellEnd"/>
      <w:r w:rsidRPr="0089402D">
        <w:rPr>
          <w:rFonts w:ascii="Times New Roman" w:hAnsi="Times New Roman" w:cs="Times New Roman"/>
          <w:color w:val="1A1A1A"/>
        </w:rPr>
        <w:t xml:space="preserve"> received was a letter regarding Gault’s future court date. </w:t>
      </w:r>
    </w:p>
    <w:p w14:paraId="51F794EF" w14:textId="77777777" w:rsidR="007A2201" w:rsidRPr="0089402D" w:rsidRDefault="007A2201" w:rsidP="007A2201">
      <w:pPr>
        <w:rPr>
          <w:rFonts w:ascii="Times New Roman" w:hAnsi="Times New Roman" w:cs="Times New Roman"/>
          <w:color w:val="1A1A1A"/>
        </w:rPr>
      </w:pPr>
    </w:p>
    <w:p w14:paraId="221986A4" w14:textId="77777777" w:rsidR="007A2201" w:rsidRPr="0089402D" w:rsidRDefault="007A2201" w:rsidP="007A2201">
      <w:pPr>
        <w:rPr>
          <w:rFonts w:ascii="Times New Roman" w:hAnsi="Times New Roman" w:cs="Times New Roman"/>
          <w:color w:val="1A1A1A"/>
        </w:rPr>
      </w:pPr>
      <w:r w:rsidRPr="0089402D">
        <w:rPr>
          <w:rFonts w:ascii="Times New Roman" w:hAnsi="Times New Roman" w:cs="Times New Roman"/>
          <w:color w:val="1A1A1A"/>
        </w:rPr>
        <w:t xml:space="preserve">During the initial trial, neither the </w:t>
      </w:r>
      <w:r>
        <w:rPr>
          <w:rFonts w:ascii="Times New Roman" w:hAnsi="Times New Roman" w:cs="Times New Roman"/>
          <w:color w:val="1A1A1A"/>
        </w:rPr>
        <w:t>neighbor who accused Gault</w:t>
      </w:r>
      <w:r w:rsidRPr="0089402D">
        <w:rPr>
          <w:rFonts w:ascii="Times New Roman" w:hAnsi="Times New Roman" w:cs="Times New Roman"/>
          <w:color w:val="1A1A1A"/>
        </w:rPr>
        <w:t xml:space="preserve">, nor any witnesses, were there to testify against Gault. Gault was found guilty and was </w:t>
      </w:r>
      <w:r>
        <w:rPr>
          <w:rFonts w:ascii="Times New Roman" w:hAnsi="Times New Roman" w:cs="Times New Roman"/>
          <w:color w:val="1A1A1A"/>
        </w:rPr>
        <w:t>sent to</w:t>
      </w:r>
      <w:r w:rsidRPr="0089402D">
        <w:rPr>
          <w:rFonts w:ascii="Times New Roman" w:hAnsi="Times New Roman" w:cs="Times New Roman"/>
          <w:color w:val="1A1A1A"/>
        </w:rPr>
        <w:t xml:space="preserve"> the</w:t>
      </w:r>
      <w:r>
        <w:rPr>
          <w:rFonts w:ascii="Times New Roman" w:hAnsi="Times New Roman" w:cs="Times New Roman"/>
          <w:color w:val="1A1A1A"/>
        </w:rPr>
        <w:t xml:space="preserve"> State Industrial School for </w:t>
      </w:r>
      <w:proofErr w:type="gramStart"/>
      <w:r>
        <w:rPr>
          <w:rFonts w:ascii="Times New Roman" w:hAnsi="Times New Roman" w:cs="Times New Roman"/>
          <w:color w:val="1A1A1A"/>
        </w:rPr>
        <w:t>a period of time</w:t>
      </w:r>
      <w:proofErr w:type="gramEnd"/>
      <w:r>
        <w:rPr>
          <w:rFonts w:ascii="Times New Roman" w:hAnsi="Times New Roman" w:cs="Times New Roman"/>
          <w:color w:val="1A1A1A"/>
        </w:rPr>
        <w:t>, while he was a minor</w:t>
      </w:r>
      <w:r w:rsidRPr="0089402D">
        <w:rPr>
          <w:rFonts w:ascii="Times New Roman" w:hAnsi="Times New Roman" w:cs="Times New Roman"/>
          <w:color w:val="1A1A1A"/>
        </w:rPr>
        <w:t>. At the t</w:t>
      </w:r>
      <w:r>
        <w:rPr>
          <w:rFonts w:ascii="Times New Roman" w:hAnsi="Times New Roman" w:cs="Times New Roman"/>
          <w:color w:val="1A1A1A"/>
        </w:rPr>
        <w:t xml:space="preserve">ime, Arizona law did not allow </w:t>
      </w:r>
      <w:r w:rsidRPr="0089402D">
        <w:rPr>
          <w:rFonts w:ascii="Times New Roman" w:hAnsi="Times New Roman" w:cs="Times New Roman"/>
          <w:color w:val="1A1A1A"/>
        </w:rPr>
        <w:t>an appeal process for juvenile cases</w:t>
      </w:r>
      <w:r>
        <w:rPr>
          <w:rFonts w:ascii="Times New Roman" w:hAnsi="Times New Roman" w:cs="Times New Roman"/>
          <w:color w:val="1A1A1A"/>
        </w:rPr>
        <w:t>, or cases for people under the age of 18</w:t>
      </w:r>
      <w:r w:rsidRPr="0089402D">
        <w:rPr>
          <w:rFonts w:ascii="Times New Roman" w:hAnsi="Times New Roman" w:cs="Times New Roman"/>
          <w:color w:val="1A1A1A"/>
        </w:rPr>
        <w:t>. In response, Gault’s parents petitioned the A</w:t>
      </w:r>
      <w:r>
        <w:rPr>
          <w:rFonts w:ascii="Times New Roman" w:hAnsi="Times New Roman" w:cs="Times New Roman"/>
          <w:color w:val="1A1A1A"/>
        </w:rPr>
        <w:t xml:space="preserve">rizona Supreme Court to have their son released. </w:t>
      </w:r>
    </w:p>
    <w:p w14:paraId="484F180C" w14:textId="77777777" w:rsidR="007A2201" w:rsidRPr="0089402D" w:rsidRDefault="007A2201" w:rsidP="007A2201">
      <w:pPr>
        <w:rPr>
          <w:rFonts w:ascii="Times New Roman" w:hAnsi="Times New Roman" w:cs="Times New Roman"/>
          <w:color w:val="1A1A1A"/>
        </w:rPr>
      </w:pPr>
    </w:p>
    <w:p w14:paraId="1D5A4F5D" w14:textId="77777777" w:rsidR="007A2201" w:rsidRDefault="007A2201" w:rsidP="007A2201">
      <w:pPr>
        <w:rPr>
          <w:rFonts w:ascii="Times New Roman" w:hAnsi="Times New Roman" w:cs="Times New Roman"/>
          <w:color w:val="1A1A1A"/>
        </w:rPr>
      </w:pPr>
      <w:r w:rsidRPr="0089402D">
        <w:rPr>
          <w:rFonts w:ascii="Times New Roman" w:hAnsi="Times New Roman" w:cs="Times New Roman"/>
          <w:color w:val="1A1A1A"/>
        </w:rPr>
        <w:t>Th</w:t>
      </w:r>
      <w:r>
        <w:rPr>
          <w:rFonts w:ascii="Times New Roman" w:hAnsi="Times New Roman" w:cs="Times New Roman"/>
          <w:color w:val="1A1A1A"/>
        </w:rPr>
        <w:t>e Arizona Supreme Court agreed with</w:t>
      </w:r>
      <w:r w:rsidRPr="0089402D">
        <w:rPr>
          <w:rFonts w:ascii="Times New Roman" w:hAnsi="Times New Roman" w:cs="Times New Roman"/>
          <w:color w:val="1A1A1A"/>
        </w:rPr>
        <w:t xml:space="preserve"> th</w:t>
      </w:r>
      <w:r>
        <w:rPr>
          <w:rFonts w:ascii="Times New Roman" w:hAnsi="Times New Roman" w:cs="Times New Roman"/>
          <w:color w:val="1A1A1A"/>
        </w:rPr>
        <w:t>e lower court</w:t>
      </w:r>
      <w:r w:rsidRPr="0089402D">
        <w:rPr>
          <w:rFonts w:ascii="Times New Roman" w:hAnsi="Times New Roman" w:cs="Times New Roman"/>
          <w:color w:val="1A1A1A"/>
        </w:rPr>
        <w:t xml:space="preserve"> and found that the Arizona Juvenile Code and the Gault proceedings did not specifically violate the due process clause. The case was th</w:t>
      </w:r>
      <w:r>
        <w:rPr>
          <w:rFonts w:ascii="Times New Roman" w:hAnsi="Times New Roman" w:cs="Times New Roman"/>
          <w:color w:val="1A1A1A"/>
        </w:rPr>
        <w:t>en appealed to the U.S.</w:t>
      </w:r>
      <w:r w:rsidRPr="0089402D">
        <w:rPr>
          <w:rFonts w:ascii="Times New Roman" w:hAnsi="Times New Roman" w:cs="Times New Roman"/>
          <w:color w:val="1A1A1A"/>
        </w:rPr>
        <w:t xml:space="preserve"> Supreme Court</w:t>
      </w:r>
      <w:r>
        <w:rPr>
          <w:rFonts w:ascii="Times New Roman" w:hAnsi="Times New Roman" w:cs="Times New Roman"/>
          <w:color w:val="1A1A1A"/>
        </w:rPr>
        <w:t xml:space="preserve">. </w:t>
      </w:r>
    </w:p>
    <w:p w14:paraId="2CA375CF" w14:textId="77777777" w:rsidR="007A2201" w:rsidRPr="001E577B" w:rsidRDefault="007A2201" w:rsidP="007A2201">
      <w:pPr>
        <w:rPr>
          <w:rFonts w:ascii="Times New Roman" w:hAnsi="Times New Roman" w:cs="Times New Roman"/>
          <w:color w:val="1A1A1A"/>
        </w:rPr>
      </w:pPr>
    </w:p>
    <w:p w14:paraId="15EB4392" w14:textId="0DE3A857" w:rsidR="007A2201" w:rsidRDefault="007A2201" w:rsidP="007A2201">
      <w:pPr>
        <w:rPr>
          <w:rFonts w:ascii="Times New Roman" w:hAnsi="Times New Roman" w:cs="Times New Roman"/>
          <w:b/>
          <w:color w:val="1A1A1A"/>
        </w:rPr>
      </w:pPr>
      <w:r w:rsidRPr="0077105C">
        <w:rPr>
          <w:rFonts w:ascii="Times New Roman" w:hAnsi="Times New Roman" w:cs="Times New Roman"/>
          <w:noProof/>
          <w:color w:val="1A1A1A"/>
        </w:rPr>
        <mc:AlternateContent>
          <mc:Choice Requires="wps">
            <w:drawing>
              <wp:anchor distT="0" distB="0" distL="114300" distR="114300" simplePos="0" relativeHeight="251659264" behindDoc="0" locked="0" layoutInCell="1" allowOverlap="1" wp14:anchorId="2572353F" wp14:editId="2588D86E">
                <wp:simplePos x="0" y="0"/>
                <wp:positionH relativeFrom="column">
                  <wp:posOffset>0</wp:posOffset>
                </wp:positionH>
                <wp:positionV relativeFrom="paragraph">
                  <wp:posOffset>221615</wp:posOffset>
                </wp:positionV>
                <wp:extent cx="6172200" cy="1379220"/>
                <wp:effectExtent l="7620" t="9525" r="1143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9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168A9" w14:textId="77777777" w:rsidR="007A2201" w:rsidRPr="001B5B53" w:rsidRDefault="007A2201" w:rsidP="007A2201">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7EC8ECC3" w14:textId="77777777" w:rsidR="007A2201" w:rsidRPr="00B01838" w:rsidRDefault="007A2201" w:rsidP="007A2201">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D2FFF14" w14:textId="77777777" w:rsidR="007A2201" w:rsidRPr="00B01838" w:rsidRDefault="007A2201" w:rsidP="007A2201">
                            <w:pPr>
                              <w:rPr>
                                <w:rFonts w:ascii="Times New Roman" w:hAnsi="Times New Roman" w:cs="Times New Roman"/>
                                <w:color w:val="1D20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572353F" id="_x0000_t202" coordsize="21600,21600" o:spt="202" path="m,l,21600r21600,l21600,xe">
                <v:stroke joinstyle="miter"/>
                <v:path gradientshapeok="t" o:connecttype="rect"/>
              </v:shapetype>
              <v:shape id="Text Box 1" o:spid="_x0000_s1026" type="#_x0000_t202" style="position:absolute;margin-left:0;margin-top:17.45pt;width:486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" filled="f">
                <v:textbox>
                  <w:txbxContent>
                    <w:p w14:paraId="297168A9" w14:textId="77777777" w:rsidR="007A2201" w:rsidRPr="001B5B53" w:rsidRDefault="007A2201" w:rsidP="007A2201">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7EC8ECC3" w14:textId="77777777" w:rsidR="007A2201" w:rsidRPr="00B01838" w:rsidRDefault="007A2201" w:rsidP="007A2201">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D2FFF14" w14:textId="77777777" w:rsidR="007A2201" w:rsidRPr="00B01838" w:rsidRDefault="007A2201" w:rsidP="007A2201">
                      <w:pPr>
                        <w:rPr>
                          <w:rFonts w:ascii="Times New Roman" w:hAnsi="Times New Roman" w:cs="Times New Roman"/>
                          <w:color w:val="1D2024"/>
                        </w:rPr>
                      </w:pP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7D8BE272" w14:textId="77777777" w:rsidR="007A2201" w:rsidRDefault="007A2201" w:rsidP="007A2201">
      <w:pPr>
        <w:rPr>
          <w:rFonts w:ascii="Times New Roman" w:hAnsi="Times New Roman" w:cs="Times New Roman"/>
          <w:b/>
          <w:color w:val="1A1A1A"/>
        </w:rPr>
      </w:pPr>
      <w:r>
        <w:rPr>
          <w:rFonts w:ascii="Times New Roman" w:hAnsi="Times New Roman" w:cs="Times New Roman"/>
          <w:b/>
          <w:color w:val="1A1A1A"/>
        </w:rPr>
        <w:br w:type="page"/>
      </w:r>
    </w:p>
    <w:p w14:paraId="7A7B2845" w14:textId="77777777" w:rsidR="007A2201" w:rsidRPr="00C3153B" w:rsidRDefault="007A2201" w:rsidP="007A2201">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61C4DED1" w14:textId="77777777" w:rsidR="007A2201" w:rsidRDefault="007A2201" w:rsidP="007A2201">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In re Gault</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Two </w:t>
      </w:r>
    </w:p>
    <w:p w14:paraId="58A4EC97" w14:textId="77777777" w:rsidR="007A2201" w:rsidRDefault="007A2201" w:rsidP="007A2201">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4A152F93" w14:textId="77777777" w:rsidR="007A2201" w:rsidRPr="0089402D" w:rsidRDefault="007A2201" w:rsidP="007A2201">
      <w:pPr>
        <w:rPr>
          <w:rFonts w:ascii="Times New Roman" w:hAnsi="Times New Roman" w:cs="Times New Roman"/>
          <w:color w:val="1A1A1A"/>
        </w:rPr>
      </w:pPr>
      <w:r>
        <w:rPr>
          <w:rFonts w:ascii="Times New Roman" w:hAnsi="Times New Roman" w:cs="Times New Roman"/>
          <w:color w:val="1A1A1A"/>
        </w:rPr>
        <w:t>I</w:t>
      </w:r>
      <w:r w:rsidRPr="0089402D">
        <w:rPr>
          <w:rFonts w:ascii="Times New Roman" w:hAnsi="Times New Roman" w:cs="Times New Roman"/>
          <w:color w:val="1A1A1A"/>
        </w:rPr>
        <w:t xml:space="preserve">n an 8-1 decision, the </w:t>
      </w:r>
      <w:r>
        <w:rPr>
          <w:rFonts w:ascii="Times New Roman" w:hAnsi="Times New Roman" w:cs="Times New Roman"/>
          <w:color w:val="1A1A1A"/>
        </w:rPr>
        <w:t xml:space="preserve">Supreme Court ruled that Gault being sent </w:t>
      </w:r>
      <w:r w:rsidRPr="0089402D">
        <w:rPr>
          <w:rFonts w:ascii="Times New Roman" w:hAnsi="Times New Roman" w:cs="Times New Roman"/>
          <w:color w:val="1A1A1A"/>
        </w:rPr>
        <w:t xml:space="preserve">to the State Industrial School was a </w:t>
      </w:r>
      <w:r>
        <w:rPr>
          <w:rFonts w:ascii="Times New Roman" w:hAnsi="Times New Roman" w:cs="Times New Roman"/>
          <w:color w:val="1A1A1A"/>
        </w:rPr>
        <w:t>clear</w:t>
      </w:r>
      <w:r w:rsidRPr="0089402D">
        <w:rPr>
          <w:rFonts w:ascii="Times New Roman" w:hAnsi="Times New Roman" w:cs="Times New Roman"/>
          <w:color w:val="1A1A1A"/>
        </w:rPr>
        <w:t xml:space="preserve"> violation of the </w:t>
      </w:r>
      <w:r>
        <w:rPr>
          <w:rFonts w:ascii="Times New Roman" w:hAnsi="Times New Roman" w:cs="Times New Roman"/>
          <w:color w:val="1A1A1A"/>
        </w:rPr>
        <w:t>Fourteenth</w:t>
      </w:r>
      <w:r w:rsidRPr="0089402D">
        <w:rPr>
          <w:rFonts w:ascii="Times New Roman" w:hAnsi="Times New Roman" w:cs="Times New Roman"/>
          <w:color w:val="1A1A1A"/>
        </w:rPr>
        <w:t xml:space="preserve"> Amendment.</w:t>
      </w:r>
      <w:r>
        <w:rPr>
          <w:rFonts w:ascii="Times New Roman" w:hAnsi="Times New Roman" w:cs="Times New Roman"/>
          <w:color w:val="1A1A1A"/>
        </w:rPr>
        <w:t xml:space="preserve"> </w:t>
      </w:r>
      <w:r w:rsidRPr="0089402D">
        <w:rPr>
          <w:rFonts w:ascii="Times New Roman" w:hAnsi="Times New Roman" w:cs="Times New Roman"/>
          <w:color w:val="1A1A1A"/>
        </w:rPr>
        <w:t xml:space="preserve">The Supreme Court ruled in Gault’s favor because the young man had been denied the right to an attorney, had never been formally notified of the charges against him, had not been informed of his right against self-incrimination, and did not possess the opportunity to confront his accuser. </w:t>
      </w:r>
      <w:r>
        <w:rPr>
          <w:rFonts w:ascii="Times New Roman" w:hAnsi="Times New Roman" w:cs="Times New Roman"/>
          <w:color w:val="1A1A1A"/>
        </w:rPr>
        <w:t xml:space="preserve">Protection from self-incrimination is </w:t>
      </w:r>
      <w:r>
        <w:rPr>
          <w:rFonts w:ascii="Times New Roman" w:hAnsi="Times New Roman"/>
        </w:rPr>
        <w:t>the right in the Fifth Amendment that</w:t>
      </w:r>
      <w:r w:rsidRPr="007A0810">
        <w:rPr>
          <w:rFonts w:ascii="Times New Roman" w:hAnsi="Times New Roman"/>
        </w:rPr>
        <w:t xml:space="preserve"> protects a person from being forced to reveal to the police, prosecutor, judge, or jury any information that might subject him or her to criminal prosecution</w:t>
      </w:r>
      <w:r>
        <w:rPr>
          <w:rFonts w:ascii="Times New Roman" w:hAnsi="Times New Roman"/>
        </w:rPr>
        <w:t>.</w:t>
      </w:r>
      <w:r w:rsidRPr="0089402D">
        <w:rPr>
          <w:rFonts w:ascii="Times New Roman" w:hAnsi="Times New Roman" w:cs="Times New Roman"/>
          <w:color w:val="1A1A1A"/>
        </w:rPr>
        <w:t xml:space="preserve"> The Supreme Court, through this ruling, stated that the purpose of the juvenile court was correction and not punishment. </w:t>
      </w:r>
    </w:p>
    <w:p w14:paraId="29CF08A0" w14:textId="77777777" w:rsidR="007A2201" w:rsidRPr="001B5B53" w:rsidRDefault="007A2201" w:rsidP="007A2201">
      <w:pPr>
        <w:rPr>
          <w:rFonts w:ascii="Times New Roman" w:hAnsi="Times New Roman" w:cs="Times New Roman"/>
          <w:b/>
          <w:color w:val="1D2024"/>
        </w:rPr>
      </w:pPr>
    </w:p>
    <w:p w14:paraId="068A9D06" w14:textId="77777777" w:rsidR="007A2201" w:rsidRDefault="007A2201" w:rsidP="007A2201">
      <w:pPr>
        <w:widowControl w:val="0"/>
        <w:autoSpaceDE w:val="0"/>
        <w:autoSpaceDN w:val="0"/>
        <w:adjustRightInd w:val="0"/>
        <w:spacing w:after="120"/>
        <w:rPr>
          <w:rFonts w:ascii="Times New Roman" w:hAnsi="Times New Roman" w:cs="Times New Roman"/>
          <w:color w:val="1A1A1A"/>
        </w:rPr>
      </w:pPr>
      <w:r w:rsidRPr="0089402D">
        <w:rPr>
          <w:rFonts w:ascii="Times New Roman" w:hAnsi="Times New Roman" w:cs="Times New Roman"/>
          <w:color w:val="1A1A1A"/>
        </w:rPr>
        <w:t xml:space="preserve">Through the </w:t>
      </w:r>
      <w:r w:rsidRPr="007C1C62">
        <w:rPr>
          <w:rFonts w:ascii="Times New Roman" w:hAnsi="Times New Roman" w:cs="Times New Roman"/>
          <w:i/>
          <w:color w:val="1A1A1A"/>
        </w:rPr>
        <w:t>In Re Gault</w:t>
      </w:r>
      <w:r>
        <w:rPr>
          <w:rFonts w:ascii="Times New Roman" w:hAnsi="Times New Roman" w:cs="Times New Roman"/>
          <w:color w:val="1A1A1A"/>
        </w:rPr>
        <w:t xml:space="preserve"> decision, the U.S.</w:t>
      </w:r>
      <w:r w:rsidRPr="0089402D">
        <w:rPr>
          <w:rFonts w:ascii="Times New Roman" w:hAnsi="Times New Roman" w:cs="Times New Roman"/>
          <w:color w:val="1A1A1A"/>
        </w:rPr>
        <w:t xml:space="preserve"> Supreme Court stated that an individual</w:t>
      </w:r>
      <w:r>
        <w:rPr>
          <w:rFonts w:ascii="Times New Roman" w:hAnsi="Times New Roman" w:cs="Times New Roman"/>
          <w:color w:val="1A1A1A"/>
        </w:rPr>
        <w:t xml:space="preserve"> maintains their </w:t>
      </w:r>
      <w:r w:rsidRPr="0089402D">
        <w:rPr>
          <w:rFonts w:ascii="Times New Roman" w:hAnsi="Times New Roman" w:cs="Times New Roman"/>
          <w:color w:val="1A1A1A"/>
        </w:rPr>
        <w:t>right to timely notification of charges, the right against self-incrimination, the right to confro</w:t>
      </w:r>
      <w:r>
        <w:rPr>
          <w:rFonts w:ascii="Times New Roman" w:hAnsi="Times New Roman" w:cs="Times New Roman"/>
          <w:color w:val="1A1A1A"/>
        </w:rPr>
        <w:t xml:space="preserve">nt a witness, and the right to a lawyer even if the individual is a juvenile. </w:t>
      </w:r>
    </w:p>
    <w:p w14:paraId="268359C6" w14:textId="180DAA81" w:rsidR="004B1AAA" w:rsidRPr="007A2201" w:rsidRDefault="007A2201" w:rsidP="007A2201">
      <w:pPr>
        <w:widowControl w:val="0"/>
        <w:autoSpaceDE w:val="0"/>
        <w:autoSpaceDN w:val="0"/>
        <w:adjustRightInd w:val="0"/>
        <w:spacing w:after="120"/>
        <w:rPr>
          <w:rFonts w:ascii="Times New Roman" w:hAnsi="Times New Roman" w:cs="Times New Roman"/>
          <w:color w:val="1A1A1A"/>
        </w:rPr>
      </w:pPr>
      <w:r w:rsidRPr="007C1C62">
        <w:rPr>
          <w:rFonts w:ascii="Times New Roman" w:hAnsi="Times New Roman" w:cs="Times New Roman"/>
          <w:i/>
          <w:color w:val="1A1A1A"/>
        </w:rPr>
        <w:t>In Re Gault</w:t>
      </w:r>
      <w:r w:rsidRPr="0089402D">
        <w:rPr>
          <w:rFonts w:ascii="Times New Roman" w:hAnsi="Times New Roman" w:cs="Times New Roman"/>
          <w:color w:val="1A1A1A"/>
        </w:rPr>
        <w:t xml:space="preserve"> was a landmark deci</w:t>
      </w:r>
      <w:r>
        <w:rPr>
          <w:rFonts w:ascii="Times New Roman" w:hAnsi="Times New Roman" w:cs="Times New Roman"/>
          <w:color w:val="1A1A1A"/>
        </w:rPr>
        <w:t>sion issued by the U.S.</w:t>
      </w:r>
      <w:r w:rsidRPr="0089402D">
        <w:rPr>
          <w:rFonts w:ascii="Times New Roman" w:hAnsi="Times New Roman" w:cs="Times New Roman"/>
          <w:color w:val="1A1A1A"/>
        </w:rPr>
        <w:t xml:space="preserve"> Supreme Court t</w:t>
      </w:r>
      <w:r>
        <w:rPr>
          <w:rFonts w:ascii="Times New Roman" w:hAnsi="Times New Roman" w:cs="Times New Roman"/>
          <w:color w:val="1A1A1A"/>
        </w:rPr>
        <w:t xml:space="preserve">hat established that </w:t>
      </w:r>
      <w:r w:rsidRPr="0089402D">
        <w:rPr>
          <w:rFonts w:ascii="Times New Roman" w:hAnsi="Times New Roman" w:cs="Times New Roman"/>
          <w:color w:val="1A1A1A"/>
        </w:rPr>
        <w:t xml:space="preserve">a juvenile </w:t>
      </w:r>
      <w:r>
        <w:rPr>
          <w:rFonts w:ascii="Times New Roman" w:hAnsi="Times New Roman" w:cs="Times New Roman"/>
          <w:color w:val="1A1A1A"/>
        </w:rPr>
        <w:t>must be given</w:t>
      </w:r>
      <w:r w:rsidRPr="0089402D">
        <w:rPr>
          <w:rFonts w:ascii="Times New Roman" w:hAnsi="Times New Roman" w:cs="Times New Roman"/>
          <w:color w:val="1A1A1A"/>
        </w:rPr>
        <w:t xml:space="preserve"> similar due p</w:t>
      </w:r>
      <w:r>
        <w:rPr>
          <w:rFonts w:ascii="Times New Roman" w:hAnsi="Times New Roman" w:cs="Times New Roman"/>
          <w:color w:val="1A1A1A"/>
        </w:rPr>
        <w:t xml:space="preserve">rocess rights as given to an adult under the Fourteenth Amendment. </w:t>
      </w:r>
      <w:bookmarkStart w:id="0" w:name="_GoBack"/>
      <w:bookmarkEnd w:id="0"/>
    </w:p>
    <w:sectPr w:rsidR="004B1AAA" w:rsidRPr="007A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01"/>
    <w:rsid w:val="004B1AAA"/>
    <w:rsid w:val="007A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141A"/>
  <w15:chartTrackingRefBased/>
  <w15:docId w15:val="{FD594E55-A353-49D9-A483-CC6A32E5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201"/>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A2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iminal-justice.laws.com/in-re-gault" TargetMode="External"/><Relationship Id="rId4" Type="http://schemas.openxmlformats.org/officeDocument/2006/relationships/hyperlink" Target="http://www.oyez.org/cases/1960-1969/1966/1966_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2020-02-26T14:25:00Z</dcterms:created>
  <dcterms:modified xsi:type="dcterms:W3CDTF">2020-02-26T14:26:00Z</dcterms:modified>
</cp:coreProperties>
</file>